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6DD17">
      <w:pPr>
        <w:jc w:val="center"/>
      </w:pPr>
      <w:bookmarkStart w:id="0" w:name="_GoBack"/>
      <w:bookmarkEnd w:id="0"/>
      <w:r>
        <w:rPr>
          <w:rFonts w:ascii="Calibri" w:hAnsi="Calibri" w:eastAsia="Calibri"/>
          <w:b/>
          <w:sz w:val="44"/>
        </w:rPr>
        <w:t>OEM vs ODM vs Contract Manufacturing</w:t>
      </w:r>
    </w:p>
    <w:p w14:paraId="2A760158">
      <w:pPr>
        <w:jc w:val="center"/>
      </w:pPr>
      <w:r>
        <w:rPr>
          <w:rFonts w:ascii="Calibri" w:hAnsi="Calibri" w:eastAsia="Calibri"/>
          <w:sz w:val="24"/>
        </w:rPr>
        <w:t>Download Pack (Templates) — Skincare &amp; Personal Care</w:t>
      </w:r>
    </w:p>
    <w:p w14:paraId="36E70985"/>
    <w:p w14:paraId="354E050C">
      <w:r>
        <w:rPr>
          <w:rFonts w:ascii="Calibri" w:hAnsi="Calibri" w:eastAsia="Calibri"/>
          <w:b/>
          <w:sz w:val="22"/>
        </w:rPr>
        <w:t xml:space="preserve">Purpose: </w:t>
      </w:r>
      <w:r>
        <w:t>Help brands choose the right manufacturing model and run a proof-ready first call, so samples and bulk production stay aligned.</w:t>
      </w:r>
    </w:p>
    <w:p w14:paraId="3EAB1E67">
      <w:r>
        <w:rPr>
          <w:rFonts w:ascii="Calibri" w:hAnsi="Calibri" w:eastAsia="Calibri"/>
          <w:b/>
          <w:sz w:val="22"/>
        </w:rPr>
        <w:t xml:space="preserve">Format: </w:t>
      </w:r>
      <w:r>
        <w:t>Use this pack as a single downloadable asset on your page, or split into 2–3 downloads (see Section 1).</w:t>
      </w:r>
    </w:p>
    <w:p w14:paraId="5D7D451F"/>
    <w:p w14:paraId="72E61A4C">
      <w:r>
        <w:rPr>
          <w:rFonts w:ascii="Calibri" w:hAnsi="Calibri" w:eastAsia="Calibri"/>
          <w:b/>
          <w:sz w:val="28"/>
        </w:rPr>
        <w:t>1) What to offer as downloads on the page</w:t>
      </w:r>
    </w:p>
    <w:p w14:paraId="18747B82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If you want one clean CTA, offer one main pack + one optional one-page brief. If you want higher intent leads, split into 2–3 smaller downloads.</w:t>
      </w:r>
    </w:p>
    <w:p w14:paraId="5EBB7171">
      <w:r>
        <w:rPr>
          <w:rFonts w:ascii="Calibri" w:hAnsi="Calibri" w:eastAsia="Calibri"/>
          <w:b/>
          <w:sz w:val="24"/>
        </w:rPr>
        <w:t>Recommended downloads</w:t>
      </w:r>
    </w:p>
    <w:p w14:paraId="41A4B0FD">
      <w:pPr>
        <w:pStyle w:val="16"/>
      </w:pPr>
      <w:r>
        <w:t>Main CTA: “OEM vs ODM Decision Pack (Templates)” — this full document.</w:t>
      </w:r>
    </w:p>
    <w:p w14:paraId="55D41192">
      <w:pPr>
        <w:pStyle w:val="16"/>
      </w:pPr>
      <w:r>
        <w:t>Optional CTA: “RFQ One-Page Brief” — a single-page version of Template H for quick submissions.</w:t>
      </w:r>
    </w:p>
    <w:p w14:paraId="698F5B94">
      <w:pPr>
        <w:pStyle w:val="16"/>
      </w:pPr>
      <w:r>
        <w:t>Optional CTA: “Ownership &amp; Exit Clauses Checklist” — Template E only, for buyers focused on IP and lock-in.</w:t>
      </w:r>
    </w:p>
    <w:p w14:paraId="509246A2">
      <w:r>
        <w:rPr>
          <w:rFonts w:ascii="Calibri" w:hAnsi="Calibri" w:eastAsia="Calibri"/>
          <w:b/>
          <w:sz w:val="24"/>
        </w:rPr>
        <w:t>Suggested CTA labels (short)</w:t>
      </w:r>
    </w:p>
    <w:p w14:paraId="4E2CE470">
      <w:pPr>
        <w:pStyle w:val="16"/>
      </w:pPr>
      <w:r>
        <w:t>Download Decision Pack</w:t>
      </w:r>
    </w:p>
    <w:p w14:paraId="0F919035">
      <w:pPr>
        <w:pStyle w:val="16"/>
      </w:pPr>
      <w:r>
        <w:t>Get RFQ Brief</w:t>
      </w:r>
    </w:p>
    <w:p w14:paraId="3550FA3A">
      <w:pPr>
        <w:pStyle w:val="16"/>
      </w:pPr>
      <w:r>
        <w:t>Get Ownership Checklist</w:t>
      </w:r>
    </w:p>
    <w:p w14:paraId="4F3B62AE"/>
    <w:p w14:paraId="276CA7E7">
      <w:r>
        <w:rPr>
          <w:rFonts w:ascii="Calibri" w:hAnsi="Calibri" w:eastAsia="Calibri"/>
          <w:b/>
          <w:sz w:val="28"/>
        </w:rPr>
        <w:t>2) What’s included in this pack</w:t>
      </w:r>
    </w:p>
    <w:p w14:paraId="5D64F527">
      <w:pPr>
        <w:pStyle w:val="16"/>
      </w:pPr>
      <w:r>
        <w:t>Template A — Model Selector (one page)</w:t>
      </w:r>
    </w:p>
    <w:p w14:paraId="72D9132F">
      <w:pPr>
        <w:pStyle w:val="16"/>
      </w:pPr>
      <w:r>
        <w:t>Template B — 5-Question Decision Tree</w:t>
      </w:r>
    </w:p>
    <w:p w14:paraId="1ED9F826">
      <w:pPr>
        <w:pStyle w:val="16"/>
      </w:pPr>
      <w:r>
        <w:t>Template C — Model Comparison Grid (copy/paste)</w:t>
      </w:r>
    </w:p>
    <w:p w14:paraId="29E2636B">
      <w:pPr>
        <w:pStyle w:val="16"/>
      </w:pPr>
      <w:r>
        <w:t>Template D — Scope Exhibit Checklist (contract wrapper)</w:t>
      </w:r>
    </w:p>
    <w:p w14:paraId="0B96DAC6">
      <w:pPr>
        <w:pStyle w:val="16"/>
      </w:pPr>
      <w:r>
        <w:t>Template E — Ownership &amp; Lock-In Clauses Checklist</w:t>
      </w:r>
    </w:p>
    <w:p w14:paraId="302FFAD9">
      <w:pPr>
        <w:pStyle w:val="16"/>
      </w:pPr>
      <w:r>
        <w:t>Template F — Responsibility Map (docs, tests, release gates)</w:t>
      </w:r>
    </w:p>
    <w:p w14:paraId="720913F3">
      <w:pPr>
        <w:pStyle w:val="16"/>
      </w:pPr>
      <w:r>
        <w:t>Template G — Sampling Gates (acceptance criteria + re-sample triggers)</w:t>
      </w:r>
    </w:p>
    <w:p w14:paraId="33C6D58A">
      <w:pPr>
        <w:pStyle w:val="16"/>
      </w:pPr>
      <w:r>
        <w:t>Template H — RFQ Template (comparable quotes)</w:t>
      </w:r>
    </w:p>
    <w:p w14:paraId="2E448A52">
      <w:pPr>
        <w:pStyle w:val="16"/>
      </w:pPr>
      <w:r>
        <w:t>Template I — Call Notes Sheet + Answer Scorecard (0/1/2)</w:t>
      </w:r>
    </w:p>
    <w:p w14:paraId="651D3077">
      <w:pPr>
        <w:pStyle w:val="16"/>
      </w:pPr>
      <w:r>
        <w:t>Template J — Follow-Up Recap Email (copy/paste)</w:t>
      </w:r>
    </w:p>
    <w:p w14:paraId="498DAF32"/>
    <w:p w14:paraId="0713AE7D">
      <w:r>
        <w:rPr>
          <w:rFonts w:ascii="Calibri" w:hAnsi="Calibri" w:eastAsia="Calibri"/>
          <w:b/>
          <w:sz w:val="28"/>
        </w:rPr>
        <w:t>Template A — Model Selector (one page)</w:t>
      </w:r>
    </w:p>
    <w:p w14:paraId="64F6625C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Fill this before supplier calls. It turns ‘OEM/ODM’ into a clear decision based on control, speed, risk, and ownership.</w:t>
      </w:r>
    </w:p>
    <w:p w14:paraId="54CD1E68">
      <w:r>
        <w:t>Project basics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6"/>
        <w:gridCol w:w="5330"/>
      </w:tblGrid>
      <w:tr w14:paraId="6C21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  <w:vAlign w:val="top"/>
          </w:tcPr>
          <w:p w14:paraId="2EC1AF15">
            <w:pPr>
              <w:spacing w:after="0" w:line="240" w:lineRule="auto"/>
            </w:pPr>
            <w:r>
              <w:t>Field</w:t>
            </w:r>
          </w:p>
        </w:tc>
        <w:tc>
          <w:tcPr>
            <w:tcW w:w="6912" w:type="dxa"/>
            <w:vAlign w:val="top"/>
          </w:tcPr>
          <w:p w14:paraId="7ADF2954">
            <w:pPr>
              <w:spacing w:after="0" w:line="240" w:lineRule="auto"/>
            </w:pPr>
            <w:r>
              <w:t>Your input</w:t>
            </w:r>
          </w:p>
        </w:tc>
      </w:tr>
      <w:tr w14:paraId="79E5C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B6F3EDB">
            <w:pPr>
              <w:spacing w:after="0" w:line="240" w:lineRule="auto"/>
            </w:pPr>
            <w:r>
              <w:t>Target market (US/EU/UK/AU/SEA)</w:t>
            </w:r>
          </w:p>
        </w:tc>
        <w:tc>
          <w:tcPr>
            <w:tcW w:w="4320" w:type="dxa"/>
          </w:tcPr>
          <w:p w14:paraId="7954E3AF">
            <w:pPr>
              <w:spacing w:after="0" w:line="240" w:lineRule="auto"/>
            </w:pPr>
            <w:r>
              <w:t>______________________________</w:t>
            </w:r>
          </w:p>
        </w:tc>
      </w:tr>
      <w:tr w14:paraId="37734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0A063B2">
            <w:pPr>
              <w:spacing w:after="0" w:line="240" w:lineRule="auto"/>
            </w:pPr>
            <w:r>
              <w:t>Channel (Amazon/DTC/clinic/retail)</w:t>
            </w:r>
          </w:p>
        </w:tc>
        <w:tc>
          <w:tcPr>
            <w:tcW w:w="4320" w:type="dxa"/>
          </w:tcPr>
          <w:p w14:paraId="3F4B7ECE">
            <w:pPr>
              <w:spacing w:after="0" w:line="240" w:lineRule="auto"/>
            </w:pPr>
            <w:r>
              <w:t>______________________________</w:t>
            </w:r>
          </w:p>
        </w:tc>
      </w:tr>
      <w:tr w14:paraId="6DE51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B6C4CA2">
            <w:pPr>
              <w:spacing w:after="0" w:line="240" w:lineRule="auto"/>
            </w:pPr>
            <w:r>
              <w:t>Product type + format (serum/cleanser/cream, etc.)</w:t>
            </w:r>
          </w:p>
        </w:tc>
        <w:tc>
          <w:tcPr>
            <w:tcW w:w="4320" w:type="dxa"/>
          </w:tcPr>
          <w:p w14:paraId="70F8B74E">
            <w:pPr>
              <w:spacing w:after="0" w:line="240" w:lineRule="auto"/>
            </w:pPr>
            <w:r>
              <w:t>______________________________</w:t>
            </w:r>
          </w:p>
        </w:tc>
      </w:tr>
      <w:tr w14:paraId="44D2A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7CC700B">
            <w:pPr>
              <w:spacing w:after="0" w:line="240" w:lineRule="auto"/>
            </w:pPr>
            <w:r>
              <w:t>Non-negotiable outcome (one line)</w:t>
            </w:r>
          </w:p>
        </w:tc>
        <w:tc>
          <w:tcPr>
            <w:tcW w:w="4320" w:type="dxa"/>
          </w:tcPr>
          <w:p w14:paraId="1BBD7FD4">
            <w:pPr>
              <w:spacing w:after="0" w:line="240" w:lineRule="auto"/>
            </w:pPr>
            <w:r>
              <w:t>______________________________</w:t>
            </w:r>
          </w:p>
        </w:tc>
      </w:tr>
      <w:tr w14:paraId="03144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4113F13">
            <w:pPr>
              <w:spacing w:after="0" w:line="240" w:lineRule="auto"/>
            </w:pPr>
            <w:r>
              <w:t>Fragrance policy (fragrance-free / low-allergen / EO)</w:t>
            </w:r>
          </w:p>
        </w:tc>
        <w:tc>
          <w:tcPr>
            <w:tcW w:w="4320" w:type="dxa"/>
          </w:tcPr>
          <w:p w14:paraId="510E780C">
            <w:pPr>
              <w:spacing w:after="0" w:line="240" w:lineRule="auto"/>
            </w:pPr>
            <w:r>
              <w:t>______________________________</w:t>
            </w:r>
          </w:p>
        </w:tc>
      </w:tr>
      <w:tr w14:paraId="33BFA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1777D5D">
            <w:pPr>
              <w:spacing w:after="0" w:line="240" w:lineRule="auto"/>
            </w:pPr>
            <w:r>
              <w:t>Packaging direction (airless / dropper / tube / jar)</w:t>
            </w:r>
          </w:p>
        </w:tc>
        <w:tc>
          <w:tcPr>
            <w:tcW w:w="4320" w:type="dxa"/>
          </w:tcPr>
          <w:p w14:paraId="3A96297A">
            <w:pPr>
              <w:spacing w:after="0" w:line="240" w:lineRule="auto"/>
            </w:pPr>
            <w:r>
              <w:t>______________________________</w:t>
            </w:r>
          </w:p>
        </w:tc>
      </w:tr>
      <w:tr w14:paraId="3011F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E7C6AFC">
            <w:pPr>
              <w:spacing w:after="0" w:line="240" w:lineRule="auto"/>
            </w:pPr>
            <w:r>
              <w:t>Indicative first order range (pcs)</w:t>
            </w:r>
          </w:p>
        </w:tc>
        <w:tc>
          <w:tcPr>
            <w:tcW w:w="4320" w:type="dxa"/>
          </w:tcPr>
          <w:p w14:paraId="46FBF649">
            <w:pPr>
              <w:spacing w:after="0" w:line="240" w:lineRule="auto"/>
            </w:pPr>
            <w:r>
              <w:t>______________________________</w:t>
            </w:r>
          </w:p>
        </w:tc>
      </w:tr>
      <w:tr w14:paraId="23C5F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9987FE9">
            <w:pPr>
              <w:spacing w:after="0" w:line="240" w:lineRule="auto"/>
            </w:pPr>
            <w:r>
              <w:t>Target dates (samples + launch)</w:t>
            </w:r>
          </w:p>
        </w:tc>
        <w:tc>
          <w:tcPr>
            <w:tcW w:w="4320" w:type="dxa"/>
          </w:tcPr>
          <w:p w14:paraId="1BB91EE8">
            <w:pPr>
              <w:spacing w:after="0" w:line="240" w:lineRule="auto"/>
            </w:pPr>
            <w:r>
              <w:t>______________________________</w:t>
            </w:r>
          </w:p>
        </w:tc>
      </w:tr>
    </w:tbl>
    <w:p w14:paraId="0D008272">
      <w:r>
        <w:t>Priority check</w:t>
      </w:r>
    </w:p>
    <w:p w14:paraId="6E3D2EC2">
      <w:r>
        <w:t>☐ Speed is my top priority (launch fast with controlled customization).</w:t>
      </w:r>
    </w:p>
    <w:p w14:paraId="15876FAC">
      <w:r>
        <w:t>☐ Control is my top priority (spec windows, change control, repeatability).</w:t>
      </w:r>
    </w:p>
    <w:p w14:paraId="414B8F11">
      <w:r>
        <w:t>☐ Lowest complexity is my top priority (platform formulas and fixed lanes).</w:t>
      </w:r>
    </w:p>
    <w:p w14:paraId="154A1D3C">
      <w:r>
        <w:t>☐ Ownership or exclusivity is required (contract must state it).</w:t>
      </w:r>
    </w:p>
    <w:p w14:paraId="157F8550">
      <w:r>
        <w:t>☐ I need the factory to handle end-to-end (packaging, tests, documents).</w:t>
      </w:r>
    </w:p>
    <w:p w14:paraId="16D30C04"/>
    <w:p w14:paraId="31FDFF48">
      <w:r>
        <w:rPr>
          <w:rFonts w:ascii="Calibri" w:hAnsi="Calibri" w:eastAsia="Calibri"/>
          <w:b/>
          <w:sz w:val="28"/>
        </w:rPr>
        <w:t>Template B — 5-Question Decision Tree</w:t>
      </w:r>
    </w:p>
    <w:p w14:paraId="2692642A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during internal alignment. Circle answers. The output is your initial lane: ODM, OEM, or Hybrid + contract wrapper with exhibits.</w:t>
      </w:r>
    </w:p>
    <w:p w14:paraId="75B049C8">
      <w:r>
        <w:t>• Q1) Is speed the top priority, with limited R&amp;D involvement?  Yes / No</w:t>
      </w:r>
    </w:p>
    <w:p w14:paraId="0D8DE403">
      <w:r>
        <w:t>• Q2) Do you need control over actives, sensorial feel, and long-term consistency?  Yes / No</w:t>
      </w:r>
    </w:p>
    <w:p w14:paraId="56483BDD">
      <w:r>
        <w:t>• Q3) Do you require formula ownership or exclusivity?  Yes / No</w:t>
      </w:r>
    </w:p>
    <w:p w14:paraId="61C8A635">
      <w:r>
        <w:t>• Q4) Are you building a multi-SKU line where reorders must match tightly?  Yes / No</w:t>
      </w:r>
    </w:p>
    <w:p w14:paraId="76B66ADF">
      <w:r>
        <w:t>• Q5) Do you need the factory to handle end-to-end (packaging sourcing, tests, documentation)?  Yes / No</w:t>
      </w:r>
    </w:p>
    <w:p w14:paraId="57C9DF7C">
      <w:r>
        <w:t>Decision output (write one): ODM / OEM / Hybrid + exhibit-based contract scope</w:t>
      </w:r>
    </w:p>
    <w:p w14:paraId="2407B17E">
      <w:r>
        <w:t>Notes: ________________________________________________________________</w:t>
      </w:r>
    </w:p>
    <w:p w14:paraId="65BD52B4"/>
    <w:p w14:paraId="4EFEFE17">
      <w:r>
        <w:rPr>
          <w:rFonts w:ascii="Calibri" w:hAnsi="Calibri" w:eastAsia="Calibri"/>
          <w:b/>
          <w:sz w:val="28"/>
        </w:rPr>
        <w:t>Template C — Model Comparison Grid (copy/paste)</w:t>
      </w:r>
    </w:p>
    <w:p w14:paraId="0A4A752F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this grid to compare suppliers in a consistent way. Fill it from call notes.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2125"/>
        <w:gridCol w:w="2079"/>
        <w:gridCol w:w="2179"/>
      </w:tblGrid>
      <w:tr w14:paraId="508C5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 w14:paraId="3D718F87">
            <w:pPr>
              <w:spacing w:after="0" w:line="240" w:lineRule="auto"/>
            </w:pPr>
            <w:r>
              <w:t>Area</w:t>
            </w:r>
          </w:p>
        </w:tc>
        <w:tc>
          <w:tcPr>
            <w:tcW w:w="2448" w:type="dxa"/>
            <w:vAlign w:val="top"/>
          </w:tcPr>
          <w:p w14:paraId="5E9D2914">
            <w:pPr>
              <w:spacing w:after="0" w:line="240" w:lineRule="auto"/>
            </w:pPr>
            <w:r>
              <w:t>OEM</w:t>
            </w:r>
          </w:p>
        </w:tc>
        <w:tc>
          <w:tcPr>
            <w:tcW w:w="2448" w:type="dxa"/>
            <w:vAlign w:val="top"/>
          </w:tcPr>
          <w:p w14:paraId="1B294964">
            <w:pPr>
              <w:spacing w:after="0" w:line="240" w:lineRule="auto"/>
            </w:pPr>
            <w:r>
              <w:t>ODM</w:t>
            </w:r>
          </w:p>
        </w:tc>
        <w:tc>
          <w:tcPr>
            <w:tcW w:w="2304" w:type="dxa"/>
            <w:vAlign w:val="top"/>
          </w:tcPr>
          <w:p w14:paraId="76B1410C">
            <w:pPr>
              <w:spacing w:after="0" w:line="240" w:lineRule="auto"/>
            </w:pPr>
            <w:r>
              <w:t>Contract wrapper</w:t>
            </w:r>
          </w:p>
        </w:tc>
      </w:tr>
      <w:tr w14:paraId="4EA2B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6E1DC44">
            <w:pPr>
              <w:spacing w:after="0" w:line="240" w:lineRule="auto"/>
            </w:pPr>
            <w:r>
              <w:t>Starting point</w:t>
            </w:r>
          </w:p>
        </w:tc>
        <w:tc>
          <w:tcPr>
            <w:tcW w:w="2160" w:type="dxa"/>
          </w:tcPr>
          <w:p w14:paraId="242E334C">
            <w:pPr>
              <w:spacing w:after="0" w:line="240" w:lineRule="auto"/>
            </w:pPr>
            <w:r>
              <w:t>Your brief + targets</w:t>
            </w:r>
          </w:p>
        </w:tc>
        <w:tc>
          <w:tcPr>
            <w:tcW w:w="2160" w:type="dxa"/>
          </w:tcPr>
          <w:p w14:paraId="27EE413A">
            <w:pPr>
              <w:spacing w:after="0" w:line="240" w:lineRule="auto"/>
            </w:pPr>
            <w:r>
              <w:t>Platform formula</w:t>
            </w:r>
          </w:p>
        </w:tc>
        <w:tc>
          <w:tcPr>
            <w:tcW w:w="2160" w:type="dxa"/>
          </w:tcPr>
          <w:p w14:paraId="6368B391">
            <w:pPr>
              <w:spacing w:after="0" w:line="240" w:lineRule="auto"/>
            </w:pPr>
            <w:r>
              <w:t>OEM/ODM/hybrid scope defined by exhibits</w:t>
            </w:r>
          </w:p>
        </w:tc>
      </w:tr>
      <w:tr w14:paraId="158A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2E34AB53">
            <w:pPr>
              <w:spacing w:after="0" w:line="240" w:lineRule="auto"/>
            </w:pPr>
            <w:r>
              <w:t>Customization depth</w:t>
            </w:r>
          </w:p>
        </w:tc>
        <w:tc>
          <w:tcPr>
            <w:tcW w:w="2160" w:type="dxa"/>
          </w:tcPr>
          <w:p w14:paraId="1231B4F8">
            <w:pPr>
              <w:spacing w:after="0" w:line="240" w:lineRule="auto"/>
            </w:pPr>
            <w:r>
              <w:t>High if specified</w:t>
            </w:r>
          </w:p>
        </w:tc>
        <w:tc>
          <w:tcPr>
            <w:tcW w:w="2160" w:type="dxa"/>
          </w:tcPr>
          <w:p w14:paraId="3D76231D">
            <w:pPr>
              <w:spacing w:after="0" w:line="240" w:lineRule="auto"/>
            </w:pPr>
            <w:r>
              <w:t>Medium within platform</w:t>
            </w:r>
          </w:p>
        </w:tc>
        <w:tc>
          <w:tcPr>
            <w:tcW w:w="2160" w:type="dxa"/>
          </w:tcPr>
          <w:p w14:paraId="1B22271F">
            <w:pPr>
              <w:spacing w:after="0" w:line="240" w:lineRule="auto"/>
            </w:pPr>
            <w:r>
              <w:t>Included/excluded items stated</w:t>
            </w:r>
          </w:p>
        </w:tc>
      </w:tr>
      <w:tr w14:paraId="35C2C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8E062FD">
            <w:pPr>
              <w:spacing w:after="0" w:line="240" w:lineRule="auto"/>
            </w:pPr>
            <w:r>
              <w:t>Ownership default</w:t>
            </w:r>
          </w:p>
        </w:tc>
        <w:tc>
          <w:tcPr>
            <w:tcW w:w="2160" w:type="dxa"/>
          </w:tcPr>
          <w:p w14:paraId="53BF5D72">
            <w:pPr>
              <w:spacing w:after="0" w:line="240" w:lineRule="auto"/>
            </w:pPr>
            <w:r>
              <w:t>Must be stated</w:t>
            </w:r>
          </w:p>
        </w:tc>
        <w:tc>
          <w:tcPr>
            <w:tcW w:w="2160" w:type="dxa"/>
          </w:tcPr>
          <w:p w14:paraId="2FD0C91B">
            <w:pPr>
              <w:spacing w:after="0" w:line="240" w:lineRule="auto"/>
            </w:pPr>
            <w:r>
              <w:t>Often factory-owned</w:t>
            </w:r>
          </w:p>
        </w:tc>
        <w:tc>
          <w:tcPr>
            <w:tcW w:w="2160" w:type="dxa"/>
          </w:tcPr>
          <w:p w14:paraId="597AF4F4">
            <w:pPr>
              <w:spacing w:after="0" w:line="240" w:lineRule="auto"/>
            </w:pPr>
            <w:r>
              <w:t>Explicit in exhibits</w:t>
            </w:r>
          </w:p>
        </w:tc>
      </w:tr>
      <w:tr w14:paraId="3EAC3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F72E616">
            <w:pPr>
              <w:spacing w:after="0" w:line="240" w:lineRule="auto"/>
            </w:pPr>
            <w:r>
              <w:t>Change control</w:t>
            </w:r>
          </w:p>
        </w:tc>
        <w:tc>
          <w:tcPr>
            <w:tcW w:w="2160" w:type="dxa"/>
          </w:tcPr>
          <w:p w14:paraId="4A8332F3">
            <w:pPr>
              <w:spacing w:after="0" w:line="240" w:lineRule="auto"/>
            </w:pPr>
            <w:r>
              <w:t>Required</w:t>
            </w:r>
          </w:p>
        </w:tc>
        <w:tc>
          <w:tcPr>
            <w:tcW w:w="2160" w:type="dxa"/>
          </w:tcPr>
          <w:p w14:paraId="0E6D6DB1">
            <w:pPr>
              <w:spacing w:after="0" w:line="240" w:lineRule="auto"/>
            </w:pPr>
            <w:r>
              <w:t>Limited to platform</w:t>
            </w:r>
          </w:p>
        </w:tc>
        <w:tc>
          <w:tcPr>
            <w:tcW w:w="2160" w:type="dxa"/>
          </w:tcPr>
          <w:p w14:paraId="7EFE667D">
            <w:pPr>
              <w:spacing w:after="0" w:line="240" w:lineRule="auto"/>
            </w:pPr>
            <w:r>
              <w:t>Re-sample triggers + approvals</w:t>
            </w:r>
          </w:p>
        </w:tc>
      </w:tr>
      <w:tr w14:paraId="773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9A02B5A">
            <w:pPr>
              <w:spacing w:after="0" w:line="240" w:lineRule="auto"/>
            </w:pPr>
            <w:r>
              <w:t>Docs &amp; tests</w:t>
            </w:r>
          </w:p>
        </w:tc>
        <w:tc>
          <w:tcPr>
            <w:tcW w:w="2160" w:type="dxa"/>
          </w:tcPr>
          <w:p w14:paraId="352E6DF4">
            <w:pPr>
              <w:spacing w:after="0" w:line="240" w:lineRule="auto"/>
            </w:pPr>
            <w:r>
              <w:t>Co-defined</w:t>
            </w:r>
          </w:p>
        </w:tc>
        <w:tc>
          <w:tcPr>
            <w:tcW w:w="2160" w:type="dxa"/>
          </w:tcPr>
          <w:p w14:paraId="1FFF2C54">
            <w:pPr>
              <w:spacing w:after="0" w:line="240" w:lineRule="auto"/>
            </w:pPr>
            <w:r>
              <w:t>Factory standard</w:t>
            </w:r>
          </w:p>
        </w:tc>
        <w:tc>
          <w:tcPr>
            <w:tcW w:w="2160" w:type="dxa"/>
          </w:tcPr>
          <w:p w14:paraId="6DCDD3D0">
            <w:pPr>
              <w:spacing w:after="0" w:line="240" w:lineRule="auto"/>
            </w:pPr>
            <w:r>
              <w:t>Included list + timing</w:t>
            </w:r>
          </w:p>
        </w:tc>
      </w:tr>
      <w:tr w14:paraId="1D97D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1BEF9BEA">
            <w:pPr>
              <w:spacing w:after="0" w:line="240" w:lineRule="auto"/>
            </w:pPr>
            <w:r>
              <w:t>Best fit</w:t>
            </w:r>
          </w:p>
        </w:tc>
        <w:tc>
          <w:tcPr>
            <w:tcW w:w="2160" w:type="dxa"/>
          </w:tcPr>
          <w:p w14:paraId="68748698">
            <w:pPr>
              <w:spacing w:after="0" w:line="240" w:lineRule="auto"/>
            </w:pPr>
            <w:r>
              <w:t>Control + repeatability</w:t>
            </w:r>
          </w:p>
        </w:tc>
        <w:tc>
          <w:tcPr>
            <w:tcW w:w="2160" w:type="dxa"/>
          </w:tcPr>
          <w:p w14:paraId="2A6E625A">
            <w:pPr>
              <w:spacing w:after="0" w:line="240" w:lineRule="auto"/>
            </w:pPr>
            <w:r>
              <w:t>Speed + lower complexity</w:t>
            </w:r>
          </w:p>
        </w:tc>
        <w:tc>
          <w:tcPr>
            <w:tcW w:w="2160" w:type="dxa"/>
          </w:tcPr>
          <w:p w14:paraId="75E48205">
            <w:pPr>
              <w:spacing w:after="0" w:line="240" w:lineRule="auto"/>
            </w:pPr>
            <w:r>
              <w:t>Clarity via scope pack</w:t>
            </w:r>
          </w:p>
        </w:tc>
      </w:tr>
    </w:tbl>
    <w:p w14:paraId="78046CDA"/>
    <w:p w14:paraId="21CC3629">
      <w:r>
        <w:rPr>
          <w:rFonts w:ascii="Calibri" w:hAnsi="Calibri" w:eastAsia="Calibri"/>
          <w:b/>
          <w:sz w:val="28"/>
        </w:rPr>
        <w:t>Template D — Scope Exhibit Checklist (contract wrapper)</w:t>
      </w:r>
    </w:p>
    <w:p w14:paraId="3BBFDF42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this when someone says “we are a contract manufacturer.” Ask them to confirm scope as exhibits so you can prevent surprises after sampling.</w:t>
      </w:r>
    </w:p>
    <w:p w14:paraId="319EEAB3">
      <w:r>
        <w:t>☐ Exhibit 1 — Product specification (pH, viscosity, appearance, odor, micro limits, fill weight).</w:t>
      </w:r>
    </w:p>
    <w:p w14:paraId="7DFA0292">
      <w:r>
        <w:t>☐ Exhibit 2 — Packaging BOM + approved version (bottle/pump/liner/label), lead times and alternates.</w:t>
      </w:r>
    </w:p>
    <w:p w14:paraId="4B6CC672">
      <w:r>
        <w:t>☐ Exhibit 3 — Testing plan (micro, stability, compatibility) with timing and pass/fail criteria.</w:t>
      </w:r>
    </w:p>
    <w:p w14:paraId="01AFCE55">
      <w:r>
        <w:t>☐ Exhibit 4 — Sampling plan + gates (what samples, how many rounds, acceptance criteria).</w:t>
      </w:r>
    </w:p>
    <w:p w14:paraId="322FAF34">
      <w:r>
        <w:t>☐ Exhibit 5 — Documentation pack (COA/SDS/spec sheets/batch records/change control summary).</w:t>
      </w:r>
    </w:p>
    <w:p w14:paraId="36AE135F">
      <w:r>
        <w:t>☐ Exhibit 6 — Claims and labeling responsibilities (who approves wording and compliance checks).</w:t>
      </w:r>
    </w:p>
    <w:p w14:paraId="7B19C663">
      <w:r>
        <w:t>☐ Exhibit 7 — Change control (what triggers re-sampling/re-testing; approval path).</w:t>
      </w:r>
    </w:p>
    <w:p w14:paraId="01A86FD3">
      <w:r>
        <w:t>☐ Exhibit 8 — Ownership and exit terms (formula file, improvements, transfer package).</w:t>
      </w:r>
    </w:p>
    <w:p w14:paraId="263F83A9"/>
    <w:p w14:paraId="67896AA2">
      <w:r>
        <w:rPr>
          <w:rFonts w:ascii="Calibri" w:hAnsi="Calibri" w:eastAsia="Calibri"/>
          <w:b/>
          <w:sz w:val="28"/>
        </w:rPr>
        <w:t>Template E — Ownership &amp; Lock-In Clauses Checklist</w:t>
      </w:r>
    </w:p>
    <w:p w14:paraId="0864BA2D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this before you pay for development or sign an exclusivity claim. This prevents “usage rights only” surprises.</w:t>
      </w:r>
    </w:p>
    <w:p w14:paraId="30A9C2DA">
      <w:r>
        <w:t>☐ Formula ownership: who owns the final formula and any improvements?</w:t>
      </w:r>
    </w:p>
    <w:p w14:paraId="66CD19EF">
      <w:r>
        <w:t>☐ Usage rights: exclusive or non-exclusive; by market/channel; duration.</w:t>
      </w:r>
    </w:p>
    <w:p w14:paraId="3A1C98E6">
      <w:r>
        <w:t>☐ Transfer package: full formula file + specs + manufacturing parameters + QC ranges.</w:t>
      </w:r>
    </w:p>
    <w:p w14:paraId="002A9B0B">
      <w:r>
        <w:t>☐ Raw material flexibility: buyer approval for alternate suppliers/grades/substitutions.</w:t>
      </w:r>
    </w:p>
    <w:p w14:paraId="084BF961">
      <w:r>
        <w:t>☐ Change control: re-sample triggers and who approves changes.</w:t>
      </w:r>
    </w:p>
    <w:p w14:paraId="5AD977BB">
      <w:r>
        <w:t>☐ Exit terms: ability to transfer the project; what files/docs are delivered on exit.</w:t>
      </w:r>
    </w:p>
    <w:p w14:paraId="17A1B589">
      <w:r>
        <w:t>☐ Confidentiality and access control: who can access your project documentation internally.</w:t>
      </w:r>
    </w:p>
    <w:p w14:paraId="35CD672F">
      <w:r>
        <w:t>Red lines (stop signs)</w:t>
      </w:r>
    </w:p>
    <w:p w14:paraId="5EA0C417">
      <w:r>
        <w:t>☐ No written ownership position.</w:t>
      </w:r>
    </w:p>
    <w:p w14:paraId="7C999F12">
      <w:r>
        <w:t>☐ No change control or re-sample triggers.</w:t>
      </w:r>
    </w:p>
    <w:p w14:paraId="5B925F46">
      <w:r>
        <w:t>☐ No defined outcome if bulk deviates from the approved sample.</w:t>
      </w:r>
    </w:p>
    <w:p w14:paraId="3ACD2AEF"/>
    <w:p w14:paraId="5DDDA27D">
      <w:r>
        <w:rPr>
          <w:rFonts w:ascii="Calibri" w:hAnsi="Calibri" w:eastAsia="Calibri"/>
          <w:b/>
          <w:sz w:val="28"/>
        </w:rPr>
        <w:t>Template F — Responsibility Map (docs, tests, release gates)</w:t>
      </w:r>
    </w:p>
    <w:p w14:paraId="5CFC22D9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this to assign ‘who does what’ before sampling. It prevents gaps in documents and test ownership.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1286"/>
        <w:gridCol w:w="1368"/>
        <w:gridCol w:w="3705"/>
      </w:tblGrid>
      <w:tr w14:paraId="63A66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  <w:vAlign w:val="top"/>
          </w:tcPr>
          <w:p w14:paraId="146CE2CC">
            <w:pPr>
              <w:spacing w:after="0" w:line="240" w:lineRule="auto"/>
            </w:pPr>
            <w:r>
              <w:t>Deliverable</w:t>
            </w:r>
          </w:p>
        </w:tc>
        <w:tc>
          <w:tcPr>
            <w:tcW w:w="1584" w:type="dxa"/>
            <w:vAlign w:val="top"/>
          </w:tcPr>
          <w:p w14:paraId="32927D91">
            <w:pPr>
              <w:spacing w:after="0" w:line="240" w:lineRule="auto"/>
            </w:pPr>
            <w:r>
              <w:t>Brand</w:t>
            </w:r>
          </w:p>
        </w:tc>
        <w:tc>
          <w:tcPr>
            <w:tcW w:w="1584" w:type="dxa"/>
            <w:vAlign w:val="top"/>
          </w:tcPr>
          <w:p w14:paraId="5A291C24">
            <w:pPr>
              <w:spacing w:after="0" w:line="240" w:lineRule="auto"/>
            </w:pPr>
            <w:r>
              <w:t>Factory</w:t>
            </w:r>
          </w:p>
        </w:tc>
        <w:tc>
          <w:tcPr>
            <w:tcW w:w="4032" w:type="dxa"/>
            <w:vAlign w:val="top"/>
          </w:tcPr>
          <w:p w14:paraId="37FC225F">
            <w:pPr>
              <w:spacing w:after="0" w:line="240" w:lineRule="auto"/>
            </w:pPr>
            <w:r>
              <w:t>Notes / timing</w:t>
            </w:r>
          </w:p>
        </w:tc>
      </w:tr>
      <w:tr w14:paraId="5BBBC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568BA83">
            <w:pPr>
              <w:spacing w:after="0" w:line="240" w:lineRule="auto"/>
            </w:pPr>
            <w:r>
              <w:t>Finished goods QC spec (versioned)</w:t>
            </w:r>
          </w:p>
        </w:tc>
        <w:tc>
          <w:tcPr>
            <w:tcW w:w="2160" w:type="dxa"/>
          </w:tcPr>
          <w:p w14:paraId="5D022CFF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03721147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733ACC3C">
            <w:pPr>
              <w:spacing w:after="0" w:line="240" w:lineRule="auto"/>
            </w:pPr>
            <w:r>
              <w:t>______________________________</w:t>
            </w:r>
          </w:p>
        </w:tc>
      </w:tr>
      <w:tr w14:paraId="4DFED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20FF12AD">
            <w:pPr>
              <w:spacing w:after="0" w:line="240" w:lineRule="auto"/>
            </w:pPr>
            <w:r>
              <w:t>COA/SDS for key raw materials</w:t>
            </w:r>
          </w:p>
        </w:tc>
        <w:tc>
          <w:tcPr>
            <w:tcW w:w="2160" w:type="dxa"/>
          </w:tcPr>
          <w:p w14:paraId="23E98C4A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7DB9B427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614C12B">
            <w:pPr>
              <w:spacing w:after="0" w:line="240" w:lineRule="auto"/>
            </w:pPr>
            <w:r>
              <w:t>______________________________</w:t>
            </w:r>
          </w:p>
        </w:tc>
      </w:tr>
      <w:tr w14:paraId="7B852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FD4A53D">
            <w:pPr>
              <w:spacing w:after="0" w:line="240" w:lineRule="auto"/>
            </w:pPr>
            <w:r>
              <w:t>Micro testing plan + release criteria</w:t>
            </w:r>
          </w:p>
        </w:tc>
        <w:tc>
          <w:tcPr>
            <w:tcW w:w="2160" w:type="dxa"/>
          </w:tcPr>
          <w:p w14:paraId="24528A2B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18378354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8FA5F8B">
            <w:pPr>
              <w:spacing w:after="0" w:line="240" w:lineRule="auto"/>
            </w:pPr>
            <w:r>
              <w:t>______________________________</w:t>
            </w:r>
          </w:p>
        </w:tc>
      </w:tr>
      <w:tr w14:paraId="663DA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80F589E">
            <w:pPr>
              <w:spacing w:after="0" w:line="240" w:lineRule="auto"/>
            </w:pPr>
            <w:r>
              <w:t>Stability plan (accelerated/real-time)</w:t>
            </w:r>
          </w:p>
        </w:tc>
        <w:tc>
          <w:tcPr>
            <w:tcW w:w="2160" w:type="dxa"/>
          </w:tcPr>
          <w:p w14:paraId="52BB679E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E07DB2B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1DBBFD44">
            <w:pPr>
              <w:spacing w:after="0" w:line="240" w:lineRule="auto"/>
            </w:pPr>
            <w:r>
              <w:t>______________________________</w:t>
            </w:r>
          </w:p>
        </w:tc>
      </w:tr>
      <w:tr w14:paraId="43ABE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FE762B8">
            <w:pPr>
              <w:spacing w:after="0" w:line="240" w:lineRule="auto"/>
            </w:pPr>
            <w:r>
              <w:t>Packaging compatibility checks</w:t>
            </w:r>
          </w:p>
        </w:tc>
        <w:tc>
          <w:tcPr>
            <w:tcW w:w="2160" w:type="dxa"/>
          </w:tcPr>
          <w:p w14:paraId="4F159174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5F6330A3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58C96DBE">
            <w:pPr>
              <w:spacing w:after="0" w:line="240" w:lineRule="auto"/>
            </w:pPr>
            <w:r>
              <w:t>______________________________</w:t>
            </w:r>
          </w:p>
        </w:tc>
      </w:tr>
      <w:tr w14:paraId="1F444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C280973">
            <w:pPr>
              <w:spacing w:after="0" w:line="240" w:lineRule="auto"/>
            </w:pPr>
            <w:r>
              <w:t>Label/claim boundary review</w:t>
            </w:r>
          </w:p>
        </w:tc>
        <w:tc>
          <w:tcPr>
            <w:tcW w:w="2160" w:type="dxa"/>
          </w:tcPr>
          <w:p w14:paraId="09C0BA51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059D5153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774E265E">
            <w:pPr>
              <w:spacing w:after="0" w:line="240" w:lineRule="auto"/>
            </w:pPr>
            <w:r>
              <w:t>______________________________</w:t>
            </w:r>
          </w:p>
        </w:tc>
      </w:tr>
      <w:tr w14:paraId="6A2B3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DEC7642">
            <w:pPr>
              <w:spacing w:after="0" w:line="240" w:lineRule="auto"/>
            </w:pPr>
            <w:r>
              <w:t>Batch records + change control summary</w:t>
            </w:r>
          </w:p>
        </w:tc>
        <w:tc>
          <w:tcPr>
            <w:tcW w:w="2160" w:type="dxa"/>
          </w:tcPr>
          <w:p w14:paraId="2E811229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79F0FE0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BDB885E">
            <w:pPr>
              <w:spacing w:after="0" w:line="240" w:lineRule="auto"/>
            </w:pPr>
            <w:r>
              <w:t>______________________________</w:t>
            </w:r>
          </w:p>
        </w:tc>
      </w:tr>
      <w:tr w14:paraId="39527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BAC1CB7">
            <w:pPr>
              <w:spacing w:after="0" w:line="240" w:lineRule="auto"/>
            </w:pPr>
            <w:r>
              <w:t>Complaint handling / CAPA path</w:t>
            </w:r>
          </w:p>
        </w:tc>
        <w:tc>
          <w:tcPr>
            <w:tcW w:w="2160" w:type="dxa"/>
          </w:tcPr>
          <w:p w14:paraId="3F4DE9D9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E38249A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10ECBD3A">
            <w:pPr>
              <w:spacing w:after="0" w:line="240" w:lineRule="auto"/>
            </w:pPr>
            <w:r>
              <w:t>______________________________</w:t>
            </w:r>
          </w:p>
        </w:tc>
      </w:tr>
    </w:tbl>
    <w:p w14:paraId="46F60BFD"/>
    <w:p w14:paraId="2E675313">
      <w:r>
        <w:rPr>
          <w:rFonts w:ascii="Calibri" w:hAnsi="Calibri" w:eastAsia="Calibri"/>
          <w:b/>
          <w:sz w:val="28"/>
        </w:rPr>
        <w:t>Template G — Sampling Gates (acceptance criteria + triggers)</w:t>
      </w:r>
    </w:p>
    <w:p w14:paraId="4C06D6F4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gates to prevent the classic mismatch: sample looks right, bulk drifts. Keep criteria measurable and versioned.</w:t>
      </w:r>
    </w:p>
    <w:p w14:paraId="1A9349F4">
      <w:r>
        <w:rPr>
          <w:rFonts w:ascii="Calibri" w:hAnsi="Calibri" w:eastAsia="Calibri"/>
          <w:b/>
          <w:sz w:val="24"/>
        </w:rPr>
        <w:t>Gate 1 — Lab sample</w:t>
      </w:r>
    </w:p>
    <w:p w14:paraId="35644E04">
      <w:pPr>
        <w:pStyle w:val="16"/>
      </w:pPr>
      <w:r>
        <w:t>Matches target feel and appearance.</w:t>
      </w:r>
    </w:p>
    <w:p w14:paraId="1ECDD5E5">
      <w:pPr>
        <w:pStyle w:val="16"/>
      </w:pPr>
      <w:r>
        <w:t>pH and viscosity within agreed windows.</w:t>
      </w:r>
    </w:p>
    <w:p w14:paraId="50CA4802">
      <w:pPr>
        <w:pStyle w:val="16"/>
      </w:pPr>
      <w:r>
        <w:t>No obvious odor drift or separation under short stress checks.</w:t>
      </w:r>
    </w:p>
    <w:p w14:paraId="64CBBF70">
      <w:r>
        <w:rPr>
          <w:rFonts w:ascii="Calibri" w:hAnsi="Calibri" w:eastAsia="Calibri"/>
          <w:b/>
          <w:sz w:val="24"/>
        </w:rPr>
        <w:t>Gate 2 — Packaging compatibility</w:t>
      </w:r>
    </w:p>
    <w:p w14:paraId="69F1AF9C">
      <w:pPr>
        <w:pStyle w:val="16"/>
      </w:pPr>
      <w:r>
        <w:t>No leak or clog under stress; pump performance acceptable.</w:t>
      </w:r>
    </w:p>
    <w:p w14:paraId="04D4E652">
      <w:pPr>
        <w:pStyle w:val="16"/>
      </w:pPr>
      <w:r>
        <w:t>No visible interaction (clouding, swelling, discoloration).</w:t>
      </w:r>
    </w:p>
    <w:p w14:paraId="5942EBFB">
      <w:pPr>
        <w:pStyle w:val="16"/>
      </w:pPr>
      <w:r>
        <w:t>Fill weight and torque controls defined.</w:t>
      </w:r>
    </w:p>
    <w:p w14:paraId="79AED1A9">
      <w:r>
        <w:rPr>
          <w:rFonts w:ascii="Calibri" w:hAnsi="Calibri" w:eastAsia="Calibri"/>
          <w:b/>
          <w:sz w:val="24"/>
        </w:rPr>
        <w:t>Gate 3 — Pilot / pre-production (if needed)</w:t>
      </w:r>
    </w:p>
    <w:p w14:paraId="65411BAD">
      <w:pPr>
        <w:pStyle w:val="16"/>
      </w:pPr>
      <w:r>
        <w:t>Pilot batch meets the same QC windows as the approved sample.</w:t>
      </w:r>
    </w:p>
    <w:p w14:paraId="19D04D2B">
      <w:pPr>
        <w:pStyle w:val="16"/>
      </w:pPr>
      <w:r>
        <w:t>Release tests passed per agreed criteria.</w:t>
      </w:r>
    </w:p>
    <w:p w14:paraId="0B451CBC">
      <w:pPr>
        <w:pStyle w:val="16"/>
      </w:pPr>
      <w:r>
        <w:t>Signed golden sample + QC sheet locked.</w:t>
      </w:r>
    </w:p>
    <w:p w14:paraId="271C2F4C">
      <w:r>
        <w:t>Re-sample triggers (short list): raw / fragrance / packaging / process / line / supplier</w:t>
      </w:r>
    </w:p>
    <w:p w14:paraId="353E41FF"/>
    <w:p w14:paraId="71D20647">
      <w:r>
        <w:rPr>
          <w:rFonts w:ascii="Calibri" w:hAnsi="Calibri" w:eastAsia="Calibri"/>
          <w:b/>
          <w:sz w:val="28"/>
        </w:rPr>
        <w:t>Template H — RFQ Template (comparable quotes)</w:t>
      </w:r>
    </w:p>
    <w:p w14:paraId="7991961F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Send the same structure to 3–5 suppliers. This makes quotes comparable and exposes scope gaps early.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6"/>
        <w:gridCol w:w="5210"/>
      </w:tblGrid>
      <w:tr w14:paraId="262BD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2" w:type="dxa"/>
            <w:vAlign w:val="top"/>
          </w:tcPr>
          <w:p w14:paraId="21F0AFDF">
            <w:pPr>
              <w:spacing w:after="0" w:line="240" w:lineRule="auto"/>
            </w:pPr>
            <w:r>
              <w:t>RFQ item</w:t>
            </w:r>
          </w:p>
        </w:tc>
        <w:tc>
          <w:tcPr>
            <w:tcW w:w="6768" w:type="dxa"/>
            <w:vAlign w:val="top"/>
          </w:tcPr>
          <w:p w14:paraId="3A64E39B">
            <w:pPr>
              <w:spacing w:after="0" w:line="240" w:lineRule="auto"/>
            </w:pPr>
            <w:r>
              <w:t>Your input</w:t>
            </w:r>
          </w:p>
        </w:tc>
      </w:tr>
      <w:tr w14:paraId="5C493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5D4EB8F">
            <w:pPr>
              <w:spacing w:after="0" w:line="240" w:lineRule="auto"/>
            </w:pPr>
            <w:r>
              <w:t>Target market + channel</w:t>
            </w:r>
          </w:p>
        </w:tc>
        <w:tc>
          <w:tcPr>
            <w:tcW w:w="4320" w:type="dxa"/>
          </w:tcPr>
          <w:p w14:paraId="35088B26">
            <w:pPr>
              <w:spacing w:after="0" w:line="240" w:lineRule="auto"/>
            </w:pPr>
            <w:r>
              <w:t>______________________________</w:t>
            </w:r>
          </w:p>
        </w:tc>
      </w:tr>
      <w:tr w14:paraId="7DC52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6F9331C">
            <w:pPr>
              <w:spacing w:after="0" w:line="240" w:lineRule="auto"/>
            </w:pPr>
            <w:r>
              <w:t>Product type + size</w:t>
            </w:r>
          </w:p>
        </w:tc>
        <w:tc>
          <w:tcPr>
            <w:tcW w:w="4320" w:type="dxa"/>
          </w:tcPr>
          <w:p w14:paraId="3ACBA396">
            <w:pPr>
              <w:spacing w:after="0" w:line="240" w:lineRule="auto"/>
            </w:pPr>
            <w:r>
              <w:t>______________________________</w:t>
            </w:r>
          </w:p>
        </w:tc>
      </w:tr>
      <w:tr w14:paraId="6FADB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3710E91">
            <w:pPr>
              <w:spacing w:after="0" w:line="240" w:lineRule="auto"/>
            </w:pPr>
            <w:r>
              <w:t>Non-negotiable outcome (one line)</w:t>
            </w:r>
          </w:p>
        </w:tc>
        <w:tc>
          <w:tcPr>
            <w:tcW w:w="4320" w:type="dxa"/>
          </w:tcPr>
          <w:p w14:paraId="0792FF58">
            <w:pPr>
              <w:spacing w:after="0" w:line="240" w:lineRule="auto"/>
            </w:pPr>
            <w:r>
              <w:t>______________________________</w:t>
            </w:r>
          </w:p>
        </w:tc>
      </w:tr>
      <w:tr w14:paraId="2DCDE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6943863">
            <w:pPr>
              <w:spacing w:after="0" w:line="240" w:lineRule="auto"/>
            </w:pPr>
            <w:r>
              <w:t>Claim boundaries to avoid</w:t>
            </w:r>
          </w:p>
        </w:tc>
        <w:tc>
          <w:tcPr>
            <w:tcW w:w="4320" w:type="dxa"/>
          </w:tcPr>
          <w:p w14:paraId="0FA20D90">
            <w:pPr>
              <w:spacing w:after="0" w:line="240" w:lineRule="auto"/>
            </w:pPr>
            <w:r>
              <w:t>______________________________</w:t>
            </w:r>
          </w:p>
        </w:tc>
      </w:tr>
      <w:tr w14:paraId="61585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A812C64">
            <w:pPr>
              <w:spacing w:after="0" w:line="240" w:lineRule="auto"/>
            </w:pPr>
            <w:r>
              <w:t>Fragrance policy</w:t>
            </w:r>
          </w:p>
        </w:tc>
        <w:tc>
          <w:tcPr>
            <w:tcW w:w="4320" w:type="dxa"/>
          </w:tcPr>
          <w:p w14:paraId="38C821E8">
            <w:pPr>
              <w:spacing w:after="0" w:line="240" w:lineRule="auto"/>
            </w:pPr>
            <w:r>
              <w:t>______________________________</w:t>
            </w:r>
          </w:p>
        </w:tc>
      </w:tr>
      <w:tr w14:paraId="5FC5F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49B837F">
            <w:pPr>
              <w:spacing w:after="0" w:line="240" w:lineRule="auto"/>
            </w:pPr>
            <w:r>
              <w:t>Packaging direction (preferred + acceptable backup)</w:t>
            </w:r>
          </w:p>
        </w:tc>
        <w:tc>
          <w:tcPr>
            <w:tcW w:w="4320" w:type="dxa"/>
          </w:tcPr>
          <w:p w14:paraId="4E48A661">
            <w:pPr>
              <w:spacing w:after="0" w:line="240" w:lineRule="auto"/>
            </w:pPr>
            <w:r>
              <w:t>______________________________</w:t>
            </w:r>
          </w:p>
        </w:tc>
      </w:tr>
      <w:tr w14:paraId="7906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6CEA566">
            <w:pPr>
              <w:spacing w:after="0" w:line="240" w:lineRule="auto"/>
            </w:pPr>
            <w:r>
              <w:t>Indicative first order range</w:t>
            </w:r>
          </w:p>
        </w:tc>
        <w:tc>
          <w:tcPr>
            <w:tcW w:w="4320" w:type="dxa"/>
          </w:tcPr>
          <w:p w14:paraId="113F51B7">
            <w:pPr>
              <w:spacing w:after="0" w:line="240" w:lineRule="auto"/>
            </w:pPr>
            <w:r>
              <w:t>______________________________</w:t>
            </w:r>
          </w:p>
        </w:tc>
      </w:tr>
      <w:tr w14:paraId="36EA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D7BE6F1">
            <w:pPr>
              <w:spacing w:after="0" w:line="240" w:lineRule="auto"/>
            </w:pPr>
            <w:r>
              <w:t>Required documents (proof pack list)</w:t>
            </w:r>
          </w:p>
        </w:tc>
        <w:tc>
          <w:tcPr>
            <w:tcW w:w="4320" w:type="dxa"/>
          </w:tcPr>
          <w:p w14:paraId="7D7E511D">
            <w:pPr>
              <w:spacing w:after="0" w:line="240" w:lineRule="auto"/>
            </w:pPr>
            <w:r>
              <w:t>______________________________</w:t>
            </w:r>
          </w:p>
        </w:tc>
      </w:tr>
      <w:tr w14:paraId="73657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5F4E3EF">
            <w:pPr>
              <w:spacing w:after="0" w:line="240" w:lineRule="auto"/>
            </w:pPr>
            <w:r>
              <w:t>Testing expectations (micro/stability/compatibility)</w:t>
            </w:r>
          </w:p>
        </w:tc>
        <w:tc>
          <w:tcPr>
            <w:tcW w:w="4320" w:type="dxa"/>
          </w:tcPr>
          <w:p w14:paraId="3689865C">
            <w:pPr>
              <w:spacing w:after="0" w:line="240" w:lineRule="auto"/>
            </w:pPr>
            <w:r>
              <w:t>______________________________</w:t>
            </w:r>
          </w:p>
        </w:tc>
      </w:tr>
      <w:tr w14:paraId="34987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21F2D50">
            <w:pPr>
              <w:spacing w:after="0" w:line="240" w:lineRule="auto"/>
            </w:pPr>
            <w:r>
              <w:t>Sample plan expectation (what you want to receive, by when)</w:t>
            </w:r>
          </w:p>
        </w:tc>
        <w:tc>
          <w:tcPr>
            <w:tcW w:w="4320" w:type="dxa"/>
          </w:tcPr>
          <w:p w14:paraId="7273BD90">
            <w:pPr>
              <w:spacing w:after="0" w:line="240" w:lineRule="auto"/>
            </w:pPr>
            <w:r>
              <w:t>______________________________</w:t>
            </w:r>
          </w:p>
        </w:tc>
      </w:tr>
      <w:tr w14:paraId="13FA9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6AB1E33">
            <w:pPr>
              <w:spacing w:after="0" w:line="240" w:lineRule="auto"/>
            </w:pPr>
            <w:r>
              <w:t>Timeline target (samples + production)</w:t>
            </w:r>
          </w:p>
        </w:tc>
        <w:tc>
          <w:tcPr>
            <w:tcW w:w="4320" w:type="dxa"/>
          </w:tcPr>
          <w:p w14:paraId="5492669E">
            <w:pPr>
              <w:spacing w:after="0" w:line="240" w:lineRule="auto"/>
            </w:pPr>
            <w:r>
              <w:t>______________________________</w:t>
            </w:r>
          </w:p>
        </w:tc>
      </w:tr>
    </w:tbl>
    <w:p w14:paraId="0B39CBBC"/>
    <w:p w14:paraId="70EAA80C">
      <w:r>
        <w:rPr>
          <w:rFonts w:ascii="Calibri" w:hAnsi="Calibri" w:eastAsia="Calibri"/>
          <w:b/>
          <w:sz w:val="28"/>
        </w:rPr>
        <w:t>Template I — Call Notes Sheet + Answer Scorecard (0/1/2)</w:t>
      </w:r>
    </w:p>
    <w:p w14:paraId="3880C152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Use during the call. Score answers by specificity and proof. Avoid sales talk; listen for ranges, checkpoints, and artifacts.</w:t>
      </w:r>
    </w:p>
    <w:p w14:paraId="13A58844">
      <w:r>
        <w:t>Call blocks (30 minutes)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785"/>
        <w:gridCol w:w="2667"/>
        <w:gridCol w:w="2847"/>
      </w:tblGrid>
      <w:tr w14:paraId="3B47C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top"/>
          </w:tcPr>
          <w:p w14:paraId="69F2F250">
            <w:pPr>
              <w:spacing w:after="0" w:line="240" w:lineRule="auto"/>
            </w:pPr>
            <w:r>
              <w:t>Time</w:t>
            </w:r>
          </w:p>
        </w:tc>
        <w:tc>
          <w:tcPr>
            <w:tcW w:w="2304" w:type="dxa"/>
            <w:vAlign w:val="top"/>
          </w:tcPr>
          <w:p w14:paraId="48C2C14A">
            <w:pPr>
              <w:spacing w:after="0" w:line="240" w:lineRule="auto"/>
            </w:pPr>
            <w:r>
              <w:t>Goal</w:t>
            </w:r>
          </w:p>
        </w:tc>
        <w:tc>
          <w:tcPr>
            <w:tcW w:w="3744" w:type="dxa"/>
            <w:vAlign w:val="top"/>
          </w:tcPr>
          <w:p w14:paraId="4DCDEDB4">
            <w:pPr>
              <w:spacing w:after="0" w:line="240" w:lineRule="auto"/>
            </w:pPr>
            <w:r>
              <w:t>Key questions</w:t>
            </w:r>
          </w:p>
        </w:tc>
        <w:tc>
          <w:tcPr>
            <w:tcW w:w="2736" w:type="dxa"/>
            <w:vAlign w:val="top"/>
          </w:tcPr>
          <w:p w14:paraId="6BA9561D">
            <w:pPr>
              <w:spacing w:after="0" w:line="240" w:lineRule="auto"/>
            </w:pPr>
            <w:r>
              <w:t>Notes</w:t>
            </w:r>
          </w:p>
        </w:tc>
      </w:tr>
      <w:tr w14:paraId="12838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23A2CB7">
            <w:pPr>
              <w:spacing w:after="0" w:line="240" w:lineRule="auto"/>
            </w:pPr>
            <w:r>
              <w:t>0–3</w:t>
            </w:r>
          </w:p>
        </w:tc>
        <w:tc>
          <w:tcPr>
            <w:tcW w:w="2160" w:type="dxa"/>
          </w:tcPr>
          <w:p w14:paraId="46A16B2E">
            <w:pPr>
              <w:spacing w:after="0" w:line="240" w:lineRule="auto"/>
            </w:pPr>
            <w:r>
              <w:t>Frame scope</w:t>
            </w:r>
          </w:p>
        </w:tc>
        <w:tc>
          <w:tcPr>
            <w:tcW w:w="2160" w:type="dxa"/>
          </w:tcPr>
          <w:p w14:paraId="5E5B7CFB">
            <w:pPr>
              <w:spacing w:after="0" w:line="240" w:lineRule="auto"/>
            </w:pPr>
            <w:r>
              <w:t>Market, channel, timeline, risk lane</w:t>
            </w:r>
          </w:p>
        </w:tc>
        <w:tc>
          <w:tcPr>
            <w:tcW w:w="2160" w:type="dxa"/>
          </w:tcPr>
          <w:p w14:paraId="381D451D">
            <w:pPr>
              <w:spacing w:after="0" w:line="240" w:lineRule="auto"/>
            </w:pPr>
            <w:r>
              <w:t>________________________</w:t>
            </w:r>
          </w:p>
        </w:tc>
      </w:tr>
      <w:tr w14:paraId="52B6B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DB83F92">
            <w:pPr>
              <w:spacing w:after="0" w:line="240" w:lineRule="auto"/>
            </w:pPr>
            <w:r>
              <w:t>3–10</w:t>
            </w:r>
          </w:p>
        </w:tc>
        <w:tc>
          <w:tcPr>
            <w:tcW w:w="2160" w:type="dxa"/>
          </w:tcPr>
          <w:p w14:paraId="28162FF5">
            <w:pPr>
              <w:spacing w:after="0" w:line="240" w:lineRule="auto"/>
            </w:pPr>
            <w:r>
              <w:t>Feasibility</w:t>
            </w:r>
          </w:p>
        </w:tc>
        <w:tc>
          <w:tcPr>
            <w:tcW w:w="2160" w:type="dxa"/>
          </w:tcPr>
          <w:p w14:paraId="69D24CF2">
            <w:pPr>
              <w:spacing w:after="0" w:line="240" w:lineRule="auto"/>
            </w:pPr>
            <w:r>
              <w:t>Format limits, constraints, platform vs custom</w:t>
            </w:r>
          </w:p>
        </w:tc>
        <w:tc>
          <w:tcPr>
            <w:tcW w:w="2160" w:type="dxa"/>
          </w:tcPr>
          <w:p w14:paraId="2244EEA8">
            <w:pPr>
              <w:spacing w:after="0" w:line="240" w:lineRule="auto"/>
            </w:pPr>
            <w:r>
              <w:t>________________________</w:t>
            </w:r>
          </w:p>
        </w:tc>
      </w:tr>
      <w:tr w14:paraId="53867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3871D302">
            <w:pPr>
              <w:spacing w:after="0" w:line="240" w:lineRule="auto"/>
            </w:pPr>
            <w:r>
              <w:t>10–18</w:t>
            </w:r>
          </w:p>
        </w:tc>
        <w:tc>
          <w:tcPr>
            <w:tcW w:w="2160" w:type="dxa"/>
          </w:tcPr>
          <w:p w14:paraId="2869946B">
            <w:pPr>
              <w:spacing w:after="0" w:line="240" w:lineRule="auto"/>
            </w:pPr>
            <w:r>
              <w:t>Execution depth</w:t>
            </w:r>
          </w:p>
        </w:tc>
        <w:tc>
          <w:tcPr>
            <w:tcW w:w="2160" w:type="dxa"/>
          </w:tcPr>
          <w:p w14:paraId="76A989D8">
            <w:pPr>
              <w:spacing w:after="0" w:line="240" w:lineRule="auto"/>
            </w:pPr>
            <w:r>
              <w:t>2–3 stress questions</w:t>
            </w:r>
          </w:p>
        </w:tc>
        <w:tc>
          <w:tcPr>
            <w:tcW w:w="2160" w:type="dxa"/>
          </w:tcPr>
          <w:p w14:paraId="248E01B5">
            <w:pPr>
              <w:spacing w:after="0" w:line="240" w:lineRule="auto"/>
            </w:pPr>
            <w:r>
              <w:t>________________________</w:t>
            </w:r>
          </w:p>
        </w:tc>
      </w:tr>
      <w:tr w14:paraId="6199B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24BDB03">
            <w:pPr>
              <w:spacing w:after="0" w:line="240" w:lineRule="auto"/>
            </w:pPr>
            <w:r>
              <w:t>18–25</w:t>
            </w:r>
          </w:p>
        </w:tc>
        <w:tc>
          <w:tcPr>
            <w:tcW w:w="2160" w:type="dxa"/>
          </w:tcPr>
          <w:p w14:paraId="39C9AF29">
            <w:pPr>
              <w:spacing w:after="0" w:line="240" w:lineRule="auto"/>
            </w:pPr>
            <w:r>
              <w:t>Proof pack</w:t>
            </w:r>
          </w:p>
        </w:tc>
        <w:tc>
          <w:tcPr>
            <w:tcW w:w="2160" w:type="dxa"/>
          </w:tcPr>
          <w:p w14:paraId="1C43BEAD">
            <w:pPr>
              <w:spacing w:after="0" w:line="240" w:lineRule="auto"/>
            </w:pPr>
            <w:r>
              <w:t>Docs + tests + timing</w:t>
            </w:r>
          </w:p>
        </w:tc>
        <w:tc>
          <w:tcPr>
            <w:tcW w:w="2160" w:type="dxa"/>
          </w:tcPr>
          <w:p w14:paraId="079AFA43">
            <w:pPr>
              <w:spacing w:after="0" w:line="240" w:lineRule="auto"/>
            </w:pPr>
            <w:r>
              <w:t>________________________</w:t>
            </w:r>
          </w:p>
        </w:tc>
      </w:tr>
      <w:tr w14:paraId="0F1AD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15902D46">
            <w:pPr>
              <w:spacing w:after="0" w:line="240" w:lineRule="auto"/>
            </w:pPr>
            <w:r>
              <w:t>25–30</w:t>
            </w:r>
          </w:p>
        </w:tc>
        <w:tc>
          <w:tcPr>
            <w:tcW w:w="2160" w:type="dxa"/>
          </w:tcPr>
          <w:p w14:paraId="6F11546E">
            <w:pPr>
              <w:spacing w:after="0" w:line="240" w:lineRule="auto"/>
            </w:pPr>
            <w:r>
              <w:t>Next steps</w:t>
            </w:r>
          </w:p>
        </w:tc>
        <w:tc>
          <w:tcPr>
            <w:tcW w:w="2160" w:type="dxa"/>
          </w:tcPr>
          <w:p w14:paraId="2E9CBFE0">
            <w:pPr>
              <w:spacing w:after="0" w:line="240" w:lineRule="auto"/>
            </w:pPr>
            <w:r>
              <w:t>Sampling gates + ownership basics</w:t>
            </w:r>
          </w:p>
        </w:tc>
        <w:tc>
          <w:tcPr>
            <w:tcW w:w="2160" w:type="dxa"/>
          </w:tcPr>
          <w:p w14:paraId="300A0867">
            <w:pPr>
              <w:spacing w:after="0" w:line="240" w:lineRule="auto"/>
            </w:pPr>
            <w:r>
              <w:t>________________________</w:t>
            </w:r>
          </w:p>
        </w:tc>
      </w:tr>
    </w:tbl>
    <w:p w14:paraId="6CA44076">
      <w:r>
        <w:t>Answer scorecard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5"/>
        <w:gridCol w:w="2946"/>
        <w:gridCol w:w="2955"/>
      </w:tblGrid>
      <w:tr w14:paraId="0A91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4" w:type="dxa"/>
            <w:vAlign w:val="top"/>
          </w:tcPr>
          <w:p w14:paraId="15060D05">
            <w:pPr>
              <w:spacing w:after="0" w:line="240" w:lineRule="auto"/>
            </w:pPr>
            <w:r>
              <w:t>0 — Vague</w:t>
            </w:r>
          </w:p>
        </w:tc>
        <w:tc>
          <w:tcPr>
            <w:tcW w:w="3024" w:type="dxa"/>
            <w:vAlign w:val="top"/>
          </w:tcPr>
          <w:p w14:paraId="08047835">
            <w:pPr>
              <w:spacing w:after="0" w:line="240" w:lineRule="auto"/>
            </w:pPr>
            <w:r>
              <w:t>1 — Specific</w:t>
            </w:r>
          </w:p>
        </w:tc>
        <w:tc>
          <w:tcPr>
            <w:tcW w:w="3024" w:type="dxa"/>
            <w:vAlign w:val="top"/>
          </w:tcPr>
          <w:p w14:paraId="2F2CF83A">
            <w:pPr>
              <w:spacing w:after="0" w:line="240" w:lineRule="auto"/>
            </w:pPr>
            <w:r>
              <w:t>2 — Proof-ready</w:t>
            </w:r>
          </w:p>
        </w:tc>
      </w:tr>
      <w:tr w14:paraId="27E85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65500171">
            <w:pPr>
              <w:spacing w:after="0" w:line="240" w:lineRule="auto"/>
            </w:pPr>
            <w:r>
              <w:t>General statements; no ranges; no process; no documents.</w:t>
            </w:r>
          </w:p>
        </w:tc>
        <w:tc>
          <w:tcPr>
            <w:tcW w:w="2880" w:type="dxa"/>
          </w:tcPr>
          <w:p w14:paraId="0CD71F8D">
            <w:pPr>
              <w:spacing w:after="0" w:line="240" w:lineRule="auto"/>
            </w:pPr>
            <w:r>
              <w:t>Mentions ranges and steps; limited evidence.</w:t>
            </w:r>
          </w:p>
        </w:tc>
        <w:tc>
          <w:tcPr>
            <w:tcW w:w="2880" w:type="dxa"/>
          </w:tcPr>
          <w:p w14:paraId="01A415E7">
            <w:pPr>
              <w:spacing w:after="0" w:line="240" w:lineRule="auto"/>
            </w:pPr>
            <w:r>
              <w:t>Ranges + QC checkpoints + documents; offers sample artifacts.</w:t>
            </w:r>
          </w:p>
        </w:tc>
      </w:tr>
    </w:tbl>
    <w:p w14:paraId="447E2035"/>
    <w:p w14:paraId="352641EC">
      <w:r>
        <w:rPr>
          <w:rFonts w:ascii="Calibri" w:hAnsi="Calibri" w:eastAsia="Calibri"/>
          <w:b/>
          <w:sz w:val="28"/>
        </w:rPr>
        <w:t>Template J — Follow-Up Recap Email (copy/paste)</w:t>
      </w:r>
    </w:p>
    <w:p w14:paraId="242C7E23">
      <w:r>
        <w:rPr>
          <w:rFonts w:ascii="Calibri" w:hAnsi="Calibri" w:eastAsia="Calibri"/>
          <w:b/>
          <w:sz w:val="22"/>
        </w:rPr>
        <w:t xml:space="preserve">How to use: </w:t>
      </w:r>
      <w:r>
        <w:rPr>
          <w:rFonts w:ascii="Calibri" w:hAnsi="Calibri" w:eastAsia="Calibri"/>
          <w:sz w:val="22"/>
        </w:rPr>
        <w:t>Send within 2 hours after the call. It prevents scope drift and confirms responsibilities in writing.</w:t>
      </w:r>
    </w:p>
    <w:p w14:paraId="3A1F7ACA">
      <w:r>
        <w:rPr>
          <w:rFonts w:ascii="Courier New" w:hAnsi="Courier New" w:eastAsia="Courier New"/>
          <w:sz w:val="20"/>
        </w:rPr>
        <w:t>Subject: Recap — [PRODUCT] first call ([MARKET])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Hi [NAME],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Thanks for the call. Here is what we aligned on: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1) Product + market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Product: [FORMAT / SIZE]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Target market / channel: [US/EU + Amazon/DTC/etc.]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Non-negotiable outcome: [1 line]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Claim boundaries to avoid: [1 line]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2) Model lane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Lane: [ODM / OEM / Hybrid] + [contract wrapper exhibits: yes/no]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Key constraints: [pH / texture / fragrance policy / allergens]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3) Packaging direction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Primary pack: [airless/dropper/tube]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Compatibility checks: [leak / clog / migration]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4) Proof pack + documents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You will share: [list]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Timing: [date]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5) Sampling plan + gates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Sample type: [lab sample / packaging comp sample]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Acceptance criteria: [pH, viscosity, appearance + any test]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Next steps: [who does what by when]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Please reply to confirm the above, and share: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Shipping address + phone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Any reference products/INCI lists (if available)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Best regards,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[YOUR NAME]</w:t>
      </w:r>
      <w:r>
        <w:rPr>
          <w:rFonts w:ascii="Courier New" w:hAnsi="Courier New" w:eastAsia="Courier New"/>
          <w:sz w:val="20"/>
        </w:rPr>
        <w:br w:type="textWrapping"/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2D3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qFormat="1"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276</Words>
  <Characters>1462</Characters>
  <Lines>0</Lines>
  <Paragraphs>0</Paragraphs>
  <TotalTime>0</TotalTime>
  <ScaleCrop>false</ScaleCrop>
  <LinksUpToDate>false</LinksUpToDate>
  <CharactersWithSpaces>1706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2026-02-09T08:33:51Z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1D724D858CAE4D538900044B067C6C02_13</vt:lpwstr>
  </property>
</Properties>
</file>