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6E804">
      <w:pPr>
        <w:jc w:val="left"/>
      </w:pPr>
      <w:bookmarkStart w:id="0" w:name="_GoBack"/>
      <w:bookmarkEnd w:id="0"/>
      <w:r>
        <w:rPr>
          <w:b/>
          <w:sz w:val="36"/>
        </w:rPr>
        <w:t>Cosmetic Manufacturing Contract — Clause Checklist (Buyer-Friendly)</w:t>
      </w:r>
    </w:p>
    <w:p w14:paraId="01394391">
      <w:r>
        <w:rPr>
          <w:sz w:val="22"/>
        </w:rPr>
        <w:t>Copy this table into your contract review doc to ensure scope, quality, compliance, and remedies are locked in writing.</w:t>
      </w:r>
    </w:p>
    <w:p w14:paraId="7D414D42"/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2340"/>
        <w:gridCol w:w="2340"/>
        <w:gridCol w:w="2340"/>
      </w:tblGrid>
      <w:tr w14:paraId="1DAF9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shd w:val="clear" w:color="auto" w:fill="E9EEF5"/>
            <w:vAlign w:val="center"/>
          </w:tcPr>
          <w:p w14:paraId="3BA50619">
            <w:pPr>
              <w:spacing w:after="0" w:line="240" w:lineRule="auto"/>
            </w:pPr>
            <w:r>
              <w:rPr>
                <w:b/>
              </w:rPr>
              <w:t>Section</w:t>
            </w:r>
          </w:p>
        </w:tc>
        <w:tc>
          <w:tcPr>
            <w:tcW w:w="2340" w:type="dxa"/>
            <w:shd w:val="clear" w:color="auto" w:fill="E9EEF5"/>
            <w:vAlign w:val="center"/>
          </w:tcPr>
          <w:p w14:paraId="4D204DF6">
            <w:pPr>
              <w:spacing w:after="0" w:line="240" w:lineRule="auto"/>
            </w:pPr>
            <w:r>
              <w:rPr>
                <w:b/>
              </w:rPr>
              <w:t>Clause / topic</w:t>
            </w:r>
          </w:p>
        </w:tc>
        <w:tc>
          <w:tcPr>
            <w:tcW w:w="2340" w:type="dxa"/>
            <w:shd w:val="clear" w:color="auto" w:fill="E9EEF5"/>
            <w:vAlign w:val="center"/>
          </w:tcPr>
          <w:p w14:paraId="66CC5BE1">
            <w:pPr>
              <w:spacing w:after="0" w:line="240" w:lineRule="auto"/>
            </w:pPr>
            <w:r>
              <w:rPr>
                <w:b/>
              </w:rPr>
              <w:t>What to specify (one sentence)</w:t>
            </w:r>
          </w:p>
        </w:tc>
        <w:tc>
          <w:tcPr>
            <w:tcW w:w="2340" w:type="dxa"/>
            <w:shd w:val="clear" w:color="auto" w:fill="E9EEF5"/>
            <w:vAlign w:val="center"/>
          </w:tcPr>
          <w:p w14:paraId="13710ABC">
            <w:pPr>
              <w:spacing w:after="0" w:line="240" w:lineRule="auto"/>
            </w:pPr>
            <w:r>
              <w:rPr>
                <w:b/>
              </w:rPr>
              <w:t>Risk if missing (one sentence)</w:t>
            </w:r>
          </w:p>
        </w:tc>
      </w:tr>
      <w:tr w14:paraId="58B74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2C6F7491">
            <w:pPr>
              <w:spacing w:after="0" w:line="240" w:lineRule="auto"/>
            </w:pPr>
            <w:r>
              <w:t>Scope</w:t>
            </w:r>
          </w:p>
        </w:tc>
        <w:tc>
          <w:tcPr>
            <w:tcW w:w="2340" w:type="dxa"/>
            <w:vAlign w:val="top"/>
          </w:tcPr>
          <w:p w14:paraId="4B96F717">
            <w:pPr>
              <w:spacing w:after="0" w:line="240" w:lineRule="auto"/>
            </w:pPr>
            <w:r>
              <w:t>Product identity</w:t>
            </w:r>
          </w:p>
        </w:tc>
        <w:tc>
          <w:tcPr>
            <w:tcW w:w="2340" w:type="dxa"/>
            <w:vAlign w:val="top"/>
          </w:tcPr>
          <w:p w14:paraId="059E9C5F">
            <w:pPr>
              <w:spacing w:after="0" w:line="240" w:lineRule="auto"/>
            </w:pPr>
            <w:r>
              <w:t>Define product name, format, net content, and SKU list tied to approved sample IDs.</w:t>
            </w:r>
          </w:p>
        </w:tc>
        <w:tc>
          <w:tcPr>
            <w:tcW w:w="2340" w:type="dxa"/>
            <w:vAlign w:val="top"/>
          </w:tcPr>
          <w:p w14:paraId="5FFCE3C4">
            <w:pPr>
              <w:spacing w:after="0" w:line="240" w:lineRule="auto"/>
            </w:pPr>
            <w:r>
              <w:t>You may approve a sample that cannot be repeated at scale.</w:t>
            </w:r>
          </w:p>
        </w:tc>
      </w:tr>
      <w:tr w14:paraId="7EEEF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4529FCC1">
            <w:pPr>
              <w:spacing w:after="0" w:line="240" w:lineRule="auto"/>
            </w:pPr>
            <w:r>
              <w:t>Scope</w:t>
            </w:r>
          </w:p>
        </w:tc>
        <w:tc>
          <w:tcPr>
            <w:tcW w:w="2340" w:type="dxa"/>
            <w:vAlign w:val="top"/>
          </w:tcPr>
          <w:p w14:paraId="2A92CD3D">
            <w:pPr>
              <w:spacing w:after="0" w:line="240" w:lineRule="auto"/>
            </w:pPr>
            <w:r>
              <w:t>Formula type &amp; change limits</w:t>
            </w:r>
          </w:p>
        </w:tc>
        <w:tc>
          <w:tcPr>
            <w:tcW w:w="2340" w:type="dxa"/>
            <w:vAlign w:val="top"/>
          </w:tcPr>
          <w:p w14:paraId="2ACB707D">
            <w:pPr>
              <w:spacing w:after="0" w:line="240" w:lineRule="auto"/>
            </w:pPr>
            <w:r>
              <w:t>State stock vs custom, allowed substitutions, and when re-approval is required.</w:t>
            </w:r>
          </w:p>
        </w:tc>
        <w:tc>
          <w:tcPr>
            <w:tcW w:w="2340" w:type="dxa"/>
            <w:vAlign w:val="top"/>
          </w:tcPr>
          <w:p w14:paraId="2C67C09A">
            <w:pPr>
              <w:spacing w:after="0" w:line="240" w:lineRule="auto"/>
            </w:pPr>
            <w:r>
              <w:t>Small changes can cause drift without you noticing until launch.</w:t>
            </w:r>
          </w:p>
        </w:tc>
      </w:tr>
      <w:tr w14:paraId="6B9FA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410AADEC">
            <w:pPr>
              <w:spacing w:after="0" w:line="240" w:lineRule="auto"/>
            </w:pPr>
            <w:r>
              <w:t>Scope</w:t>
            </w:r>
          </w:p>
        </w:tc>
        <w:tc>
          <w:tcPr>
            <w:tcW w:w="2340" w:type="dxa"/>
            <w:vAlign w:val="top"/>
          </w:tcPr>
          <w:p w14:paraId="0A678E97">
            <w:pPr>
              <w:spacing w:after="0" w:line="240" w:lineRule="auto"/>
            </w:pPr>
            <w:r>
              <w:t>Packaging BOM (components)</w:t>
            </w:r>
          </w:p>
        </w:tc>
        <w:tc>
          <w:tcPr>
            <w:tcW w:w="2340" w:type="dxa"/>
            <w:vAlign w:val="top"/>
          </w:tcPr>
          <w:p w14:paraId="1C3AD463">
            <w:pPr>
              <w:spacing w:after="0" w:line="240" w:lineRule="auto"/>
            </w:pPr>
            <w:r>
              <w:t>List every packaging component (bottle, pump, cap, liner, carton) by part number.</w:t>
            </w:r>
          </w:p>
        </w:tc>
        <w:tc>
          <w:tcPr>
            <w:tcW w:w="2340" w:type="dxa"/>
            <w:vAlign w:val="top"/>
          </w:tcPr>
          <w:p w14:paraId="3E1E2080">
            <w:pPr>
              <w:spacing w:after="0" w:line="240" w:lineRule="auto"/>
            </w:pPr>
            <w:r>
              <w:t>A vague BOM enables silent downgrades and leakage risk.</w:t>
            </w:r>
          </w:p>
        </w:tc>
      </w:tr>
      <w:tr w14:paraId="77625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02FEA45D">
            <w:pPr>
              <w:spacing w:after="0" w:line="240" w:lineRule="auto"/>
            </w:pPr>
            <w:r>
              <w:t>Scope</w:t>
            </w:r>
          </w:p>
        </w:tc>
        <w:tc>
          <w:tcPr>
            <w:tcW w:w="2340" w:type="dxa"/>
            <w:vAlign w:val="top"/>
          </w:tcPr>
          <w:p w14:paraId="3A09E6E3">
            <w:pPr>
              <w:spacing w:after="0" w:line="240" w:lineRule="auto"/>
            </w:pPr>
            <w:r>
              <w:t>Packaging specs</w:t>
            </w:r>
          </w:p>
        </w:tc>
        <w:tc>
          <w:tcPr>
            <w:tcW w:w="2340" w:type="dxa"/>
            <w:vAlign w:val="top"/>
          </w:tcPr>
          <w:p w14:paraId="4D3B0E29">
            <w:pPr>
              <w:spacing w:after="0" w:line="240" w:lineRule="auto"/>
            </w:pPr>
            <w:r>
              <w:t>Specify material, key dimensions, pump output, and compatibility requirements for each component.</w:t>
            </w:r>
          </w:p>
        </w:tc>
        <w:tc>
          <w:tcPr>
            <w:tcW w:w="2340" w:type="dxa"/>
            <w:vAlign w:val="top"/>
          </w:tcPr>
          <w:p w14:paraId="1CA155FC">
            <w:pPr>
              <w:spacing w:after="0" w:line="240" w:lineRule="auto"/>
            </w:pPr>
            <w:r>
              <w:t>Performance and fill experience can change even if the look is similar.</w:t>
            </w:r>
          </w:p>
        </w:tc>
      </w:tr>
      <w:tr w14:paraId="0D348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51F42BD4">
            <w:pPr>
              <w:spacing w:after="0" w:line="240" w:lineRule="auto"/>
            </w:pPr>
            <w:r>
              <w:t>Scope</w:t>
            </w:r>
          </w:p>
        </w:tc>
        <w:tc>
          <w:tcPr>
            <w:tcW w:w="2340" w:type="dxa"/>
            <w:vAlign w:val="top"/>
          </w:tcPr>
          <w:p w14:paraId="573EF654">
            <w:pPr>
              <w:spacing w:after="0" w:line="240" w:lineRule="auto"/>
            </w:pPr>
            <w:r>
              <w:t>Printing/decoration</w:t>
            </w:r>
          </w:p>
        </w:tc>
        <w:tc>
          <w:tcPr>
            <w:tcW w:w="2340" w:type="dxa"/>
            <w:vAlign w:val="top"/>
          </w:tcPr>
          <w:p w14:paraId="0CE8CCF2">
            <w:pPr>
              <w:spacing w:after="0" w:line="240" w:lineRule="auto"/>
            </w:pPr>
            <w:r>
              <w:t>Define label material, finish, inks, files, proofs, and who owns print setup charges.</w:t>
            </w:r>
          </w:p>
        </w:tc>
        <w:tc>
          <w:tcPr>
            <w:tcW w:w="2340" w:type="dxa"/>
            <w:vAlign w:val="top"/>
          </w:tcPr>
          <w:p w14:paraId="716D9E9D">
            <w:pPr>
              <w:spacing w:after="0" w:line="240" w:lineRule="auto"/>
            </w:pPr>
            <w:r>
              <w:t>You get late surprises on cost, lead time, and color accuracy.</w:t>
            </w:r>
          </w:p>
        </w:tc>
      </w:tr>
      <w:tr w14:paraId="66A4B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0DF64258">
            <w:pPr>
              <w:spacing w:after="0" w:line="240" w:lineRule="auto"/>
            </w:pPr>
            <w:r>
              <w:t>Scope</w:t>
            </w:r>
          </w:p>
        </w:tc>
        <w:tc>
          <w:tcPr>
            <w:tcW w:w="2340" w:type="dxa"/>
            <w:vAlign w:val="top"/>
          </w:tcPr>
          <w:p w14:paraId="6F6FFAE4">
            <w:pPr>
              <w:spacing w:after="0" w:line="240" w:lineRule="auto"/>
            </w:pPr>
            <w:r>
              <w:t>Services included</w:t>
            </w:r>
          </w:p>
        </w:tc>
        <w:tc>
          <w:tcPr>
            <w:tcW w:w="2340" w:type="dxa"/>
            <w:vAlign w:val="top"/>
          </w:tcPr>
          <w:p w14:paraId="3DFB75D8">
            <w:pPr>
              <w:spacing w:after="0" w:line="240" w:lineRule="auto"/>
            </w:pPr>
            <w:r>
              <w:t>List what is included (filling, labeling, packing, sampling rounds, documentation).</w:t>
            </w:r>
          </w:p>
        </w:tc>
        <w:tc>
          <w:tcPr>
            <w:tcW w:w="2340" w:type="dxa"/>
            <w:vAlign w:val="top"/>
          </w:tcPr>
          <w:p w14:paraId="60BD232A">
            <w:pPr>
              <w:spacing w:after="0" w:line="240" w:lineRule="auto"/>
            </w:pPr>
            <w:r>
              <w:t>Price comparisons become meaningless and scope creep follows.</w:t>
            </w:r>
          </w:p>
        </w:tc>
      </w:tr>
      <w:tr w14:paraId="0D67A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4EF73C4C">
            <w:pPr>
              <w:spacing w:after="0" w:line="240" w:lineRule="auto"/>
            </w:pPr>
            <w:r>
              <w:t>Scope</w:t>
            </w:r>
          </w:p>
        </w:tc>
        <w:tc>
          <w:tcPr>
            <w:tcW w:w="2340" w:type="dxa"/>
            <w:vAlign w:val="top"/>
          </w:tcPr>
          <w:p w14:paraId="6DC9EF7E">
            <w:pPr>
              <w:spacing w:after="0" w:line="240" w:lineRule="auto"/>
            </w:pPr>
            <w:r>
              <w:t>Subcontractors</w:t>
            </w:r>
          </w:p>
        </w:tc>
        <w:tc>
          <w:tcPr>
            <w:tcW w:w="2340" w:type="dxa"/>
            <w:vAlign w:val="top"/>
          </w:tcPr>
          <w:p w14:paraId="08028D3E">
            <w:pPr>
              <w:spacing w:after="0" w:line="240" w:lineRule="auto"/>
            </w:pPr>
            <w:r>
              <w:t>State if any step is subcontracted and require prior written approval for changes.</w:t>
            </w:r>
          </w:p>
        </w:tc>
        <w:tc>
          <w:tcPr>
            <w:tcW w:w="2340" w:type="dxa"/>
            <w:vAlign w:val="top"/>
          </w:tcPr>
          <w:p w14:paraId="428C0577">
            <w:pPr>
              <w:spacing w:after="0" w:line="240" w:lineRule="auto"/>
            </w:pPr>
            <w:r>
              <w:t>Hidden subcontracting can break traceability and quality control.</w:t>
            </w:r>
          </w:p>
        </w:tc>
      </w:tr>
      <w:tr w14:paraId="473F5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27081167">
            <w:pPr>
              <w:spacing w:after="0" w:line="240" w:lineRule="auto"/>
            </w:pPr>
            <w:r>
              <w:t>Quality</w:t>
            </w:r>
          </w:p>
        </w:tc>
        <w:tc>
          <w:tcPr>
            <w:tcW w:w="2340" w:type="dxa"/>
            <w:vAlign w:val="top"/>
          </w:tcPr>
          <w:p w14:paraId="719E8A16">
            <w:pPr>
              <w:spacing w:after="0" w:line="240" w:lineRule="auto"/>
            </w:pPr>
            <w:r>
              <w:t>Finished product spec</w:t>
            </w:r>
          </w:p>
        </w:tc>
        <w:tc>
          <w:tcPr>
            <w:tcW w:w="2340" w:type="dxa"/>
            <w:vAlign w:val="top"/>
          </w:tcPr>
          <w:p w14:paraId="13BACD8C">
            <w:pPr>
              <w:spacing w:after="0" w:line="240" w:lineRule="auto"/>
            </w:pPr>
            <w:r>
              <w:t>Attach measurable specs (pH, viscosity range, appearance, odor, fill weight tolerance).</w:t>
            </w:r>
          </w:p>
        </w:tc>
        <w:tc>
          <w:tcPr>
            <w:tcW w:w="2340" w:type="dxa"/>
            <w:vAlign w:val="top"/>
          </w:tcPr>
          <w:p w14:paraId="2A590861">
            <w:pPr>
              <w:spacing w:after="0" w:line="240" w:lineRule="auto"/>
            </w:pPr>
            <w:r>
              <w:t>Disputes become subjective and hard to enforce.</w:t>
            </w:r>
          </w:p>
        </w:tc>
      </w:tr>
      <w:tr w14:paraId="536C8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67C5B547">
            <w:pPr>
              <w:spacing w:after="0" w:line="240" w:lineRule="auto"/>
            </w:pPr>
            <w:r>
              <w:t>Quality</w:t>
            </w:r>
          </w:p>
        </w:tc>
        <w:tc>
          <w:tcPr>
            <w:tcW w:w="2340" w:type="dxa"/>
            <w:vAlign w:val="top"/>
          </w:tcPr>
          <w:p w14:paraId="01A38E47">
            <w:pPr>
              <w:spacing w:after="0" w:line="240" w:lineRule="auto"/>
            </w:pPr>
            <w:r>
              <w:t>Micro limits</w:t>
            </w:r>
          </w:p>
        </w:tc>
        <w:tc>
          <w:tcPr>
            <w:tcW w:w="2340" w:type="dxa"/>
            <w:vAlign w:val="top"/>
          </w:tcPr>
          <w:p w14:paraId="2CF2EFC8">
            <w:pPr>
              <w:spacing w:after="0" w:line="240" w:lineRule="auto"/>
            </w:pPr>
            <w:r>
              <w:t>Define micro limits, test methods, and pass/fail criteria for release.</w:t>
            </w:r>
          </w:p>
        </w:tc>
        <w:tc>
          <w:tcPr>
            <w:tcW w:w="2340" w:type="dxa"/>
            <w:vAlign w:val="top"/>
          </w:tcPr>
          <w:p w14:paraId="3E6CB800">
            <w:pPr>
              <w:spacing w:after="0" w:line="240" w:lineRule="auto"/>
            </w:pPr>
            <w:r>
              <w:t>You risk compliance issues and customer complaints post-launch.</w:t>
            </w:r>
          </w:p>
        </w:tc>
      </w:tr>
      <w:tr w14:paraId="434EA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42F75AF2">
            <w:pPr>
              <w:spacing w:after="0" w:line="240" w:lineRule="auto"/>
            </w:pPr>
            <w:r>
              <w:t>Quality</w:t>
            </w:r>
          </w:p>
        </w:tc>
        <w:tc>
          <w:tcPr>
            <w:tcW w:w="2340" w:type="dxa"/>
            <w:vAlign w:val="top"/>
          </w:tcPr>
          <w:p w14:paraId="5C0D7E9E">
            <w:pPr>
              <w:spacing w:after="0" w:line="240" w:lineRule="auto"/>
            </w:pPr>
            <w:r>
              <w:t>In-process controls</w:t>
            </w:r>
          </w:p>
        </w:tc>
        <w:tc>
          <w:tcPr>
            <w:tcW w:w="2340" w:type="dxa"/>
            <w:vAlign w:val="top"/>
          </w:tcPr>
          <w:p w14:paraId="18DAB182">
            <w:pPr>
              <w:spacing w:after="0" w:line="240" w:lineRule="auto"/>
            </w:pPr>
            <w:r>
              <w:t>Define critical in-process checks (mixing temp, hold times, homogenization, torque).</w:t>
            </w:r>
          </w:p>
        </w:tc>
        <w:tc>
          <w:tcPr>
            <w:tcW w:w="2340" w:type="dxa"/>
            <w:vAlign w:val="top"/>
          </w:tcPr>
          <w:p w14:paraId="357E36DD">
            <w:pPr>
              <w:spacing w:after="0" w:line="240" w:lineRule="auto"/>
            </w:pPr>
            <w:r>
              <w:t>Batch-to-batch variation increases and defects slip through.</w:t>
            </w:r>
          </w:p>
        </w:tc>
      </w:tr>
      <w:tr w14:paraId="52F68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146A4286">
            <w:pPr>
              <w:spacing w:after="0" w:line="240" w:lineRule="auto"/>
            </w:pPr>
            <w:r>
              <w:t>Quality</w:t>
            </w:r>
          </w:p>
        </w:tc>
        <w:tc>
          <w:tcPr>
            <w:tcW w:w="2340" w:type="dxa"/>
            <w:vAlign w:val="top"/>
          </w:tcPr>
          <w:p w14:paraId="243540F1">
            <w:pPr>
              <w:spacing w:after="0" w:line="240" w:lineRule="auto"/>
            </w:pPr>
            <w:r>
              <w:t>Sampling &amp; retention</w:t>
            </w:r>
          </w:p>
        </w:tc>
        <w:tc>
          <w:tcPr>
            <w:tcW w:w="2340" w:type="dxa"/>
            <w:vAlign w:val="top"/>
          </w:tcPr>
          <w:p w14:paraId="040D5CF9">
            <w:pPr>
              <w:spacing w:after="0" w:line="240" w:lineRule="auto"/>
            </w:pPr>
            <w:r>
              <w:t>Require retention samples, storage conditions, and how long they are kept.</w:t>
            </w:r>
          </w:p>
        </w:tc>
        <w:tc>
          <w:tcPr>
            <w:tcW w:w="2340" w:type="dxa"/>
            <w:vAlign w:val="top"/>
          </w:tcPr>
          <w:p w14:paraId="544EDD8A">
            <w:pPr>
              <w:spacing w:after="0" w:line="240" w:lineRule="auto"/>
            </w:pPr>
            <w:r>
              <w:t>You lose evidence when investigating complaints or drift.</w:t>
            </w:r>
          </w:p>
        </w:tc>
      </w:tr>
      <w:tr w14:paraId="1BE0D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4CD857D9">
            <w:pPr>
              <w:spacing w:after="0" w:line="240" w:lineRule="auto"/>
            </w:pPr>
            <w:r>
              <w:t>Quality</w:t>
            </w:r>
          </w:p>
        </w:tc>
        <w:tc>
          <w:tcPr>
            <w:tcW w:w="2340" w:type="dxa"/>
            <w:vAlign w:val="top"/>
          </w:tcPr>
          <w:p w14:paraId="536D5F87">
            <w:pPr>
              <w:spacing w:after="0" w:line="240" w:lineRule="auto"/>
            </w:pPr>
            <w:r>
              <w:t>Release rules</w:t>
            </w:r>
          </w:p>
        </w:tc>
        <w:tc>
          <w:tcPr>
            <w:tcW w:w="2340" w:type="dxa"/>
            <w:vAlign w:val="top"/>
          </w:tcPr>
          <w:p w14:paraId="66E0BADE">
            <w:pPr>
              <w:spacing w:after="0" w:line="240" w:lineRule="auto"/>
            </w:pPr>
            <w:r>
              <w:t>State who releases the batch, what documents are required, and what happens on failures.</w:t>
            </w:r>
          </w:p>
        </w:tc>
        <w:tc>
          <w:tcPr>
            <w:tcW w:w="2340" w:type="dxa"/>
            <w:vAlign w:val="top"/>
          </w:tcPr>
          <w:p w14:paraId="790E9AAB">
            <w:pPr>
              <w:spacing w:after="0" w:line="240" w:lineRule="auto"/>
            </w:pPr>
            <w:r>
              <w:t>Shipments can be pushed out without meeting agreed standards.</w:t>
            </w:r>
          </w:p>
        </w:tc>
      </w:tr>
      <w:tr w14:paraId="5F6C3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231AF429">
            <w:pPr>
              <w:spacing w:after="0" w:line="240" w:lineRule="auto"/>
            </w:pPr>
            <w:r>
              <w:t>Testing</w:t>
            </w:r>
          </w:p>
        </w:tc>
        <w:tc>
          <w:tcPr>
            <w:tcW w:w="2340" w:type="dxa"/>
            <w:vAlign w:val="top"/>
          </w:tcPr>
          <w:p w14:paraId="792A7997">
            <w:pPr>
              <w:spacing w:after="0" w:line="240" w:lineRule="auto"/>
            </w:pPr>
            <w:r>
              <w:t>Stability plan</w:t>
            </w:r>
          </w:p>
        </w:tc>
        <w:tc>
          <w:tcPr>
            <w:tcW w:w="2340" w:type="dxa"/>
            <w:vAlign w:val="top"/>
          </w:tcPr>
          <w:p w14:paraId="4B3E9563">
            <w:pPr>
              <w:spacing w:after="0" w:line="240" w:lineRule="auto"/>
            </w:pPr>
            <w:r>
              <w:t>Define stability conditions, timepoints, and what triggers reformulation or relabeling.</w:t>
            </w:r>
          </w:p>
        </w:tc>
        <w:tc>
          <w:tcPr>
            <w:tcW w:w="2340" w:type="dxa"/>
            <w:vAlign w:val="top"/>
          </w:tcPr>
          <w:p w14:paraId="276EBC93">
            <w:pPr>
              <w:spacing w:after="0" w:line="240" w:lineRule="auto"/>
            </w:pPr>
            <w:r>
              <w:t>Shelf-life disputes and reformulation delays appear late.</w:t>
            </w:r>
          </w:p>
        </w:tc>
      </w:tr>
      <w:tr w14:paraId="4EC9D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4F2E4ACC">
            <w:pPr>
              <w:spacing w:after="0" w:line="240" w:lineRule="auto"/>
            </w:pPr>
            <w:r>
              <w:t>Testing</w:t>
            </w:r>
          </w:p>
        </w:tc>
        <w:tc>
          <w:tcPr>
            <w:tcW w:w="2340" w:type="dxa"/>
            <w:vAlign w:val="top"/>
          </w:tcPr>
          <w:p w14:paraId="62473B42">
            <w:pPr>
              <w:spacing w:after="0" w:line="240" w:lineRule="auto"/>
            </w:pPr>
            <w:r>
              <w:t>Packaging compatibility</w:t>
            </w:r>
          </w:p>
        </w:tc>
        <w:tc>
          <w:tcPr>
            <w:tcW w:w="2340" w:type="dxa"/>
            <w:vAlign w:val="top"/>
          </w:tcPr>
          <w:p w14:paraId="7A26273A">
            <w:pPr>
              <w:spacing w:after="0" w:line="240" w:lineRule="auto"/>
            </w:pPr>
            <w:r>
              <w:t>Require compatibility checks for pumps, liners, and label adhesion under stress.</w:t>
            </w:r>
          </w:p>
        </w:tc>
        <w:tc>
          <w:tcPr>
            <w:tcW w:w="2340" w:type="dxa"/>
            <w:vAlign w:val="top"/>
          </w:tcPr>
          <w:p w14:paraId="0F9DD558">
            <w:pPr>
              <w:spacing w:after="0" w:line="240" w:lineRule="auto"/>
            </w:pPr>
            <w:r>
              <w:t>Leakage, clogging, or label failure can spike returns.</w:t>
            </w:r>
          </w:p>
        </w:tc>
      </w:tr>
      <w:tr w14:paraId="22D75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3BB5A248">
            <w:pPr>
              <w:spacing w:after="0" w:line="240" w:lineRule="auto"/>
            </w:pPr>
            <w:r>
              <w:t>Testing</w:t>
            </w:r>
          </w:p>
        </w:tc>
        <w:tc>
          <w:tcPr>
            <w:tcW w:w="2340" w:type="dxa"/>
            <w:vAlign w:val="top"/>
          </w:tcPr>
          <w:p w14:paraId="4727A40F">
            <w:pPr>
              <w:spacing w:after="0" w:line="240" w:lineRule="auto"/>
            </w:pPr>
            <w:r>
              <w:t>Transport/leak testing</w:t>
            </w:r>
          </w:p>
        </w:tc>
        <w:tc>
          <w:tcPr>
            <w:tcW w:w="2340" w:type="dxa"/>
            <w:vAlign w:val="top"/>
          </w:tcPr>
          <w:p w14:paraId="2E576D75">
            <w:pPr>
              <w:spacing w:after="0" w:line="240" w:lineRule="auto"/>
            </w:pPr>
            <w:r>
              <w:t>Define basic drop/leak expectations and acceptance rules for shipping routes.</w:t>
            </w:r>
          </w:p>
        </w:tc>
        <w:tc>
          <w:tcPr>
            <w:tcW w:w="2340" w:type="dxa"/>
            <w:vAlign w:val="top"/>
          </w:tcPr>
          <w:p w14:paraId="1FDBA8DE">
            <w:pPr>
              <w:spacing w:after="0" w:line="240" w:lineRule="auto"/>
            </w:pPr>
            <w:r>
              <w:t>Packaging failures show up only after inventory reaches customers.</w:t>
            </w:r>
          </w:p>
        </w:tc>
      </w:tr>
      <w:tr w14:paraId="30506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0EDA7BBD">
            <w:pPr>
              <w:spacing w:after="0" w:line="240" w:lineRule="auto"/>
            </w:pPr>
            <w:r>
              <w:t>Compliance</w:t>
            </w:r>
          </w:p>
        </w:tc>
        <w:tc>
          <w:tcPr>
            <w:tcW w:w="2340" w:type="dxa"/>
            <w:vAlign w:val="top"/>
          </w:tcPr>
          <w:p w14:paraId="35193EA8">
            <w:pPr>
              <w:spacing w:after="0" w:line="240" w:lineRule="auto"/>
            </w:pPr>
            <w:r>
              <w:t>Target markets</w:t>
            </w:r>
          </w:p>
        </w:tc>
        <w:tc>
          <w:tcPr>
            <w:tcW w:w="2340" w:type="dxa"/>
            <w:vAlign w:val="top"/>
          </w:tcPr>
          <w:p w14:paraId="52A28BE1">
            <w:pPr>
              <w:spacing w:after="0" w:line="240" w:lineRule="auto"/>
            </w:pPr>
            <w:r>
              <w:t>List intended sales regions and require compliance to that route’s restrictions and labeling.</w:t>
            </w:r>
          </w:p>
        </w:tc>
        <w:tc>
          <w:tcPr>
            <w:tcW w:w="2340" w:type="dxa"/>
            <w:vAlign w:val="top"/>
          </w:tcPr>
          <w:p w14:paraId="3A9CFC63">
            <w:pPr>
              <w:spacing w:after="0" w:line="240" w:lineRule="auto"/>
            </w:pPr>
            <w:r>
              <w:t>A product can be legal in one market and blocked in another.</w:t>
            </w:r>
          </w:p>
        </w:tc>
      </w:tr>
      <w:tr w14:paraId="70921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41006F4E">
            <w:pPr>
              <w:spacing w:after="0" w:line="240" w:lineRule="auto"/>
            </w:pPr>
            <w:r>
              <w:t>Compliance</w:t>
            </w:r>
          </w:p>
        </w:tc>
        <w:tc>
          <w:tcPr>
            <w:tcW w:w="2340" w:type="dxa"/>
            <w:vAlign w:val="top"/>
          </w:tcPr>
          <w:p w14:paraId="725AA6EA">
            <w:pPr>
              <w:spacing w:after="0" w:line="240" w:lineRule="auto"/>
            </w:pPr>
            <w:r>
              <w:t>Claims boundary</w:t>
            </w:r>
          </w:p>
        </w:tc>
        <w:tc>
          <w:tcPr>
            <w:tcW w:w="2340" w:type="dxa"/>
            <w:vAlign w:val="top"/>
          </w:tcPr>
          <w:p w14:paraId="2B336DDA">
            <w:pPr>
              <w:spacing w:after="0" w:line="240" w:lineRule="auto"/>
            </w:pPr>
            <w:r>
              <w:t>Define permitted claims and prohibit disease/drug claims unless explicitly planned.</w:t>
            </w:r>
          </w:p>
        </w:tc>
        <w:tc>
          <w:tcPr>
            <w:tcW w:w="2340" w:type="dxa"/>
            <w:vAlign w:val="top"/>
          </w:tcPr>
          <w:p w14:paraId="1D813B1D">
            <w:pPr>
              <w:spacing w:after="0" w:line="240" w:lineRule="auto"/>
            </w:pPr>
            <w:r>
              <w:t>You may trigger enforcement or marketplace takedowns.</w:t>
            </w:r>
          </w:p>
        </w:tc>
      </w:tr>
      <w:tr w14:paraId="7A143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5AAB0114">
            <w:pPr>
              <w:spacing w:after="0" w:line="240" w:lineRule="auto"/>
            </w:pPr>
            <w:r>
              <w:t>Compliance</w:t>
            </w:r>
          </w:p>
        </w:tc>
        <w:tc>
          <w:tcPr>
            <w:tcW w:w="2340" w:type="dxa"/>
            <w:vAlign w:val="top"/>
          </w:tcPr>
          <w:p w14:paraId="76C4EFF0">
            <w:pPr>
              <w:spacing w:after="0" w:line="240" w:lineRule="auto"/>
            </w:pPr>
            <w:r>
              <w:t>Ingredient restrictions</w:t>
            </w:r>
          </w:p>
        </w:tc>
        <w:tc>
          <w:tcPr>
            <w:tcW w:w="2340" w:type="dxa"/>
            <w:vAlign w:val="top"/>
          </w:tcPr>
          <w:p w14:paraId="4BC45EAF">
            <w:pPr>
              <w:spacing w:after="0" w:line="240" w:lineRule="auto"/>
            </w:pPr>
            <w:r>
              <w:t>Require restricted substance checks and documentation for regulated allergens if applicable.</w:t>
            </w:r>
          </w:p>
        </w:tc>
        <w:tc>
          <w:tcPr>
            <w:tcW w:w="2340" w:type="dxa"/>
            <w:vAlign w:val="top"/>
          </w:tcPr>
          <w:p w14:paraId="3BB78A38">
            <w:pPr>
              <w:spacing w:after="0" w:line="240" w:lineRule="auto"/>
            </w:pPr>
            <w:r>
              <w:t>You can face relabeling, recalls, or listing suppression.</w:t>
            </w:r>
          </w:p>
        </w:tc>
      </w:tr>
      <w:tr w14:paraId="7D785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6DBD3C18">
            <w:pPr>
              <w:spacing w:after="0" w:line="240" w:lineRule="auto"/>
            </w:pPr>
            <w:r>
              <w:t>Compliance</w:t>
            </w:r>
          </w:p>
        </w:tc>
        <w:tc>
          <w:tcPr>
            <w:tcW w:w="2340" w:type="dxa"/>
            <w:vAlign w:val="top"/>
          </w:tcPr>
          <w:p w14:paraId="112367AE">
            <w:pPr>
              <w:spacing w:after="0" w:line="240" w:lineRule="auto"/>
            </w:pPr>
            <w:r>
              <w:t>Documents deliverables</w:t>
            </w:r>
          </w:p>
        </w:tc>
        <w:tc>
          <w:tcPr>
            <w:tcW w:w="2340" w:type="dxa"/>
            <w:vAlign w:val="top"/>
          </w:tcPr>
          <w:p w14:paraId="5D8399BB">
            <w:pPr>
              <w:spacing w:after="0" w:line="240" w:lineRule="auto"/>
            </w:pPr>
            <w:r>
              <w:t>List required documents (INCI, COA, SDS, allergen/IFRA where relevant) with timing.</w:t>
            </w:r>
          </w:p>
        </w:tc>
        <w:tc>
          <w:tcPr>
            <w:tcW w:w="2340" w:type="dxa"/>
            <w:vAlign w:val="top"/>
          </w:tcPr>
          <w:p w14:paraId="101FF622">
            <w:pPr>
              <w:spacing w:after="0" w:line="240" w:lineRule="auto"/>
            </w:pPr>
            <w:r>
              <w:t>Missing documents delay import, listing, or retailer onboarding.</w:t>
            </w:r>
          </w:p>
        </w:tc>
      </w:tr>
      <w:tr w14:paraId="210B2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32F97574">
            <w:pPr>
              <w:spacing w:after="0" w:line="240" w:lineRule="auto"/>
            </w:pPr>
            <w:r>
              <w:t>Commercials</w:t>
            </w:r>
          </w:p>
        </w:tc>
        <w:tc>
          <w:tcPr>
            <w:tcW w:w="2340" w:type="dxa"/>
            <w:vAlign w:val="top"/>
          </w:tcPr>
          <w:p w14:paraId="08A1DF46">
            <w:pPr>
              <w:spacing w:after="0" w:line="240" w:lineRule="auto"/>
            </w:pPr>
            <w:r>
              <w:t>Price structure</w:t>
            </w:r>
          </w:p>
        </w:tc>
        <w:tc>
          <w:tcPr>
            <w:tcW w:w="2340" w:type="dxa"/>
            <w:vAlign w:val="top"/>
          </w:tcPr>
          <w:p w14:paraId="1D3ABC1C">
            <w:pPr>
              <w:spacing w:after="0" w:line="240" w:lineRule="auto"/>
            </w:pPr>
            <w:r>
              <w:t>Separate unit price, one-time fees, and optional services with clear inclusions.</w:t>
            </w:r>
          </w:p>
        </w:tc>
        <w:tc>
          <w:tcPr>
            <w:tcW w:w="2340" w:type="dxa"/>
            <w:vAlign w:val="top"/>
          </w:tcPr>
          <w:p w14:paraId="5C0DEB26">
            <w:pPr>
              <w:spacing w:after="0" w:line="240" w:lineRule="auto"/>
            </w:pPr>
            <w:r>
              <w:t>Low unit price can hide real total cost.</w:t>
            </w:r>
          </w:p>
        </w:tc>
      </w:tr>
      <w:tr w14:paraId="217BB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4587243C">
            <w:pPr>
              <w:spacing w:after="0" w:line="240" w:lineRule="auto"/>
            </w:pPr>
            <w:r>
              <w:t>Commercials</w:t>
            </w:r>
          </w:p>
        </w:tc>
        <w:tc>
          <w:tcPr>
            <w:tcW w:w="2340" w:type="dxa"/>
            <w:vAlign w:val="top"/>
          </w:tcPr>
          <w:p w14:paraId="0BDC182B">
            <w:pPr>
              <w:spacing w:after="0" w:line="240" w:lineRule="auto"/>
            </w:pPr>
            <w:r>
              <w:t>MOQ reality</w:t>
            </w:r>
          </w:p>
        </w:tc>
        <w:tc>
          <w:tcPr>
            <w:tcW w:w="2340" w:type="dxa"/>
            <w:vAlign w:val="top"/>
          </w:tcPr>
          <w:p w14:paraId="729C6781">
            <w:pPr>
              <w:spacing w:after="0" w:line="240" w:lineRule="auto"/>
            </w:pPr>
            <w:r>
              <w:t>State product MOQ and packaging MOQ separately with tier pricing rules.</w:t>
            </w:r>
          </w:p>
        </w:tc>
        <w:tc>
          <w:tcPr>
            <w:tcW w:w="2340" w:type="dxa"/>
            <w:vAlign w:val="top"/>
          </w:tcPr>
          <w:p w14:paraId="13835908">
            <w:pPr>
              <w:spacing w:after="0" w:line="240" w:lineRule="auto"/>
            </w:pPr>
            <w:r>
              <w:t>You discover the true MOQ only after artwork is approved.</w:t>
            </w:r>
          </w:p>
        </w:tc>
      </w:tr>
      <w:tr w14:paraId="54BD21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5CEC8EB6">
            <w:pPr>
              <w:spacing w:after="0" w:line="240" w:lineRule="auto"/>
            </w:pPr>
            <w:r>
              <w:t>Commercials</w:t>
            </w:r>
          </w:p>
        </w:tc>
        <w:tc>
          <w:tcPr>
            <w:tcW w:w="2340" w:type="dxa"/>
            <w:vAlign w:val="top"/>
          </w:tcPr>
          <w:p w14:paraId="11EF6061">
            <w:pPr>
              <w:spacing w:after="0" w:line="240" w:lineRule="auto"/>
            </w:pPr>
            <w:r>
              <w:t>Lead time assumptions</w:t>
            </w:r>
          </w:p>
        </w:tc>
        <w:tc>
          <w:tcPr>
            <w:tcW w:w="2340" w:type="dxa"/>
            <w:vAlign w:val="top"/>
          </w:tcPr>
          <w:p w14:paraId="69697D0A">
            <w:pPr>
              <w:spacing w:after="0" w:line="240" w:lineRule="auto"/>
            </w:pPr>
            <w:r>
              <w:t>Define lead time inputs (packaging sourcing, printing, testing) and what changes it.</w:t>
            </w:r>
          </w:p>
        </w:tc>
        <w:tc>
          <w:tcPr>
            <w:tcW w:w="2340" w:type="dxa"/>
            <w:vAlign w:val="top"/>
          </w:tcPr>
          <w:p w14:paraId="7E09DFAD">
            <w:pPr>
              <w:spacing w:after="0" w:line="240" w:lineRule="auto"/>
            </w:pPr>
            <w:r>
              <w:t>Delivery promises become unreliable and launch dates slip.</w:t>
            </w:r>
          </w:p>
        </w:tc>
      </w:tr>
      <w:tr w14:paraId="1EBDA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07262151">
            <w:pPr>
              <w:spacing w:after="0" w:line="240" w:lineRule="auto"/>
            </w:pPr>
            <w:r>
              <w:t>Commercials</w:t>
            </w:r>
          </w:p>
        </w:tc>
        <w:tc>
          <w:tcPr>
            <w:tcW w:w="2340" w:type="dxa"/>
            <w:vAlign w:val="top"/>
          </w:tcPr>
          <w:p w14:paraId="6376602B">
            <w:pPr>
              <w:spacing w:after="0" w:line="240" w:lineRule="auto"/>
            </w:pPr>
            <w:r>
              <w:t>Payment milestones</w:t>
            </w:r>
          </w:p>
        </w:tc>
        <w:tc>
          <w:tcPr>
            <w:tcW w:w="2340" w:type="dxa"/>
            <w:vAlign w:val="top"/>
          </w:tcPr>
          <w:p w14:paraId="1EE4D077">
            <w:pPr>
              <w:spacing w:after="0" w:line="240" w:lineRule="auto"/>
            </w:pPr>
            <w:r>
              <w:t>Define deposit, balance triggers, and what happens if specs fail at release.</w:t>
            </w:r>
          </w:p>
        </w:tc>
        <w:tc>
          <w:tcPr>
            <w:tcW w:w="2340" w:type="dxa"/>
            <w:vAlign w:val="top"/>
          </w:tcPr>
          <w:p w14:paraId="794F6FE5">
            <w:pPr>
              <w:spacing w:after="0" w:line="240" w:lineRule="auto"/>
            </w:pPr>
            <w:r>
              <w:t>You pay before receiving compliant product.</w:t>
            </w:r>
          </w:p>
        </w:tc>
      </w:tr>
      <w:tr w14:paraId="1F457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3AE96D7A">
            <w:pPr>
              <w:spacing w:after="0" w:line="240" w:lineRule="auto"/>
            </w:pPr>
            <w:r>
              <w:t>IP</w:t>
            </w:r>
          </w:p>
        </w:tc>
        <w:tc>
          <w:tcPr>
            <w:tcW w:w="2340" w:type="dxa"/>
            <w:vAlign w:val="top"/>
          </w:tcPr>
          <w:p w14:paraId="0FF70B40">
            <w:pPr>
              <w:spacing w:after="0" w:line="240" w:lineRule="auto"/>
            </w:pPr>
            <w:r>
              <w:t>Formula ownership</w:t>
            </w:r>
          </w:p>
        </w:tc>
        <w:tc>
          <w:tcPr>
            <w:tcW w:w="2340" w:type="dxa"/>
            <w:vAlign w:val="top"/>
          </w:tcPr>
          <w:p w14:paraId="76AF214D">
            <w:pPr>
              <w:spacing w:after="0" w:line="240" w:lineRule="auto"/>
            </w:pPr>
            <w:r>
              <w:t>Define who owns the formula, updates, and how transfer works if you move factories.</w:t>
            </w:r>
          </w:p>
        </w:tc>
        <w:tc>
          <w:tcPr>
            <w:tcW w:w="2340" w:type="dxa"/>
            <w:vAlign w:val="top"/>
          </w:tcPr>
          <w:p w14:paraId="650A8238">
            <w:pPr>
              <w:spacing w:after="0" w:line="240" w:lineRule="auto"/>
            </w:pPr>
            <w:r>
              <w:t>You can be locked in and unable to switch suppliers.</w:t>
            </w:r>
          </w:p>
        </w:tc>
      </w:tr>
      <w:tr w14:paraId="767BD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5E5321B0">
            <w:pPr>
              <w:spacing w:after="0" w:line="240" w:lineRule="auto"/>
            </w:pPr>
            <w:r>
              <w:t>IP</w:t>
            </w:r>
          </w:p>
        </w:tc>
        <w:tc>
          <w:tcPr>
            <w:tcW w:w="2340" w:type="dxa"/>
            <w:vAlign w:val="top"/>
          </w:tcPr>
          <w:p w14:paraId="1D3D80CF">
            <w:pPr>
              <w:spacing w:after="0" w:line="240" w:lineRule="auto"/>
            </w:pPr>
            <w:r>
              <w:t>Artwork &amp; tooling ownership</w:t>
            </w:r>
          </w:p>
        </w:tc>
        <w:tc>
          <w:tcPr>
            <w:tcW w:w="2340" w:type="dxa"/>
            <w:vAlign w:val="top"/>
          </w:tcPr>
          <w:p w14:paraId="4FA622FD">
            <w:pPr>
              <w:spacing w:after="0" w:line="240" w:lineRule="auto"/>
            </w:pPr>
            <w:r>
              <w:t>Define ownership of molds, plates, and design files and how they are released.</w:t>
            </w:r>
          </w:p>
        </w:tc>
        <w:tc>
          <w:tcPr>
            <w:tcW w:w="2340" w:type="dxa"/>
            <w:vAlign w:val="top"/>
          </w:tcPr>
          <w:p w14:paraId="7AF2B0C8">
            <w:pPr>
              <w:spacing w:after="0" w:line="240" w:lineRule="auto"/>
            </w:pPr>
            <w:r>
              <w:t>Your brand assets can be withheld during disputes.</w:t>
            </w:r>
          </w:p>
        </w:tc>
      </w:tr>
      <w:tr w14:paraId="43838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210998AB">
            <w:pPr>
              <w:spacing w:after="0" w:line="240" w:lineRule="auto"/>
            </w:pPr>
            <w:r>
              <w:t>IP</w:t>
            </w:r>
          </w:p>
        </w:tc>
        <w:tc>
          <w:tcPr>
            <w:tcW w:w="2340" w:type="dxa"/>
            <w:vAlign w:val="top"/>
          </w:tcPr>
          <w:p w14:paraId="7FDFF51B">
            <w:pPr>
              <w:spacing w:after="0" w:line="240" w:lineRule="auto"/>
            </w:pPr>
            <w:r>
              <w:t>Confidentiality</w:t>
            </w:r>
          </w:p>
        </w:tc>
        <w:tc>
          <w:tcPr>
            <w:tcW w:w="2340" w:type="dxa"/>
            <w:vAlign w:val="top"/>
          </w:tcPr>
          <w:p w14:paraId="6202AA41">
            <w:pPr>
              <w:spacing w:after="0" w:line="240" w:lineRule="auto"/>
            </w:pPr>
            <w:r>
              <w:t>Set confidentiality scope, duration, and permitted disclosures to subcontractors.</w:t>
            </w:r>
          </w:p>
        </w:tc>
        <w:tc>
          <w:tcPr>
            <w:tcW w:w="2340" w:type="dxa"/>
            <w:vAlign w:val="top"/>
          </w:tcPr>
          <w:p w14:paraId="48BB80D4">
            <w:pPr>
              <w:spacing w:after="0" w:line="240" w:lineRule="auto"/>
            </w:pPr>
            <w:r>
              <w:t>Your product concept and supplier network may be exposed.</w:t>
            </w:r>
          </w:p>
        </w:tc>
      </w:tr>
      <w:tr w14:paraId="195B8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04FF95D9">
            <w:pPr>
              <w:spacing w:after="0" w:line="240" w:lineRule="auto"/>
            </w:pPr>
            <w:r>
              <w:t>Risk</w:t>
            </w:r>
          </w:p>
        </w:tc>
        <w:tc>
          <w:tcPr>
            <w:tcW w:w="2340" w:type="dxa"/>
            <w:vAlign w:val="top"/>
          </w:tcPr>
          <w:p w14:paraId="60B9DE42">
            <w:pPr>
              <w:spacing w:after="0" w:line="240" w:lineRule="auto"/>
            </w:pPr>
            <w:r>
              <w:t>Defect definition</w:t>
            </w:r>
          </w:p>
        </w:tc>
        <w:tc>
          <w:tcPr>
            <w:tcW w:w="2340" w:type="dxa"/>
            <w:vAlign w:val="top"/>
          </w:tcPr>
          <w:p w14:paraId="5DA7A35E">
            <w:pPr>
              <w:spacing w:after="0" w:line="240" w:lineRule="auto"/>
            </w:pPr>
            <w:r>
              <w:t>Define what counts as defect (leak, odor drift, spec failure) and evidence requirements.</w:t>
            </w:r>
          </w:p>
        </w:tc>
        <w:tc>
          <w:tcPr>
            <w:tcW w:w="2340" w:type="dxa"/>
            <w:vAlign w:val="top"/>
          </w:tcPr>
          <w:p w14:paraId="14C74237">
            <w:pPr>
              <w:spacing w:after="0" w:line="240" w:lineRule="auto"/>
            </w:pPr>
            <w:r>
              <w:t>Remedies become negotiable instead of contractual.</w:t>
            </w:r>
          </w:p>
        </w:tc>
      </w:tr>
      <w:tr w14:paraId="5A2C4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331C8CEA">
            <w:pPr>
              <w:spacing w:after="0" w:line="240" w:lineRule="auto"/>
            </w:pPr>
            <w:r>
              <w:t>Risk</w:t>
            </w:r>
          </w:p>
        </w:tc>
        <w:tc>
          <w:tcPr>
            <w:tcW w:w="2340" w:type="dxa"/>
            <w:vAlign w:val="top"/>
          </w:tcPr>
          <w:p w14:paraId="3CA0D431">
            <w:pPr>
              <w:spacing w:after="0" w:line="240" w:lineRule="auto"/>
            </w:pPr>
            <w:r>
              <w:t>Remedy terms</w:t>
            </w:r>
          </w:p>
        </w:tc>
        <w:tc>
          <w:tcPr>
            <w:tcW w:w="2340" w:type="dxa"/>
            <w:vAlign w:val="top"/>
          </w:tcPr>
          <w:p w14:paraId="0B39F163">
            <w:pPr>
              <w:spacing w:after="0" w:line="240" w:lineRule="auto"/>
            </w:pPr>
            <w:r>
              <w:t>State rework/replace/credit options, timelines, and who pays logistics.</w:t>
            </w:r>
          </w:p>
        </w:tc>
        <w:tc>
          <w:tcPr>
            <w:tcW w:w="2340" w:type="dxa"/>
            <w:vAlign w:val="top"/>
          </w:tcPr>
          <w:p w14:paraId="182943C2">
            <w:pPr>
              <w:spacing w:after="0" w:line="240" w:lineRule="auto"/>
            </w:pPr>
            <w:r>
              <w:t>You absorb the cost of returns and rework.</w:t>
            </w:r>
          </w:p>
        </w:tc>
      </w:tr>
      <w:tr w14:paraId="27215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159EA4A7">
            <w:pPr>
              <w:spacing w:after="0" w:line="240" w:lineRule="auto"/>
            </w:pPr>
            <w:r>
              <w:t>Risk</w:t>
            </w:r>
          </w:p>
        </w:tc>
        <w:tc>
          <w:tcPr>
            <w:tcW w:w="2340" w:type="dxa"/>
            <w:vAlign w:val="top"/>
          </w:tcPr>
          <w:p w14:paraId="7363B352">
            <w:pPr>
              <w:spacing w:after="0" w:line="240" w:lineRule="auto"/>
            </w:pPr>
            <w:r>
              <w:t>Recall cooperation</w:t>
            </w:r>
          </w:p>
        </w:tc>
        <w:tc>
          <w:tcPr>
            <w:tcW w:w="2340" w:type="dxa"/>
            <w:vAlign w:val="top"/>
          </w:tcPr>
          <w:p w14:paraId="4B7A5B6B">
            <w:pPr>
              <w:spacing w:after="0" w:line="240" w:lineRule="auto"/>
            </w:pPr>
            <w:r>
              <w:t>Define notification timelines, traceability support, and recall cost-sharing logic.</w:t>
            </w:r>
          </w:p>
        </w:tc>
        <w:tc>
          <w:tcPr>
            <w:tcW w:w="2340" w:type="dxa"/>
            <w:vAlign w:val="top"/>
          </w:tcPr>
          <w:p w14:paraId="75808AF5">
            <w:pPr>
              <w:spacing w:after="0" w:line="240" w:lineRule="auto"/>
            </w:pPr>
            <w:r>
              <w:t>Recalls become chaotic and expensive.</w:t>
            </w:r>
          </w:p>
        </w:tc>
      </w:tr>
      <w:tr w14:paraId="12C2C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2FBBDA56">
            <w:pPr>
              <w:spacing w:after="0" w:line="240" w:lineRule="auto"/>
            </w:pPr>
            <w:r>
              <w:t>Risk</w:t>
            </w:r>
          </w:p>
        </w:tc>
        <w:tc>
          <w:tcPr>
            <w:tcW w:w="2340" w:type="dxa"/>
            <w:vAlign w:val="top"/>
          </w:tcPr>
          <w:p w14:paraId="3A7E21AF">
            <w:pPr>
              <w:spacing w:after="0" w:line="240" w:lineRule="auto"/>
            </w:pPr>
            <w:r>
              <w:t>Insurance</w:t>
            </w:r>
          </w:p>
        </w:tc>
        <w:tc>
          <w:tcPr>
            <w:tcW w:w="2340" w:type="dxa"/>
            <w:vAlign w:val="top"/>
          </w:tcPr>
          <w:p w14:paraId="50749A51">
            <w:pPr>
              <w:spacing w:after="0" w:line="240" w:lineRule="auto"/>
            </w:pPr>
            <w:r>
              <w:t>Require product liability insurance limits and certificate naming the brand if needed.</w:t>
            </w:r>
          </w:p>
        </w:tc>
        <w:tc>
          <w:tcPr>
            <w:tcW w:w="2340" w:type="dxa"/>
            <w:vAlign w:val="top"/>
          </w:tcPr>
          <w:p w14:paraId="1969CD14">
            <w:pPr>
              <w:spacing w:after="0" w:line="240" w:lineRule="auto"/>
            </w:pPr>
            <w:r>
              <w:t>Your brand may carry exposure without coverage.</w:t>
            </w:r>
          </w:p>
        </w:tc>
      </w:tr>
      <w:tr w14:paraId="17A43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2215D0BC">
            <w:pPr>
              <w:spacing w:after="0" w:line="240" w:lineRule="auto"/>
            </w:pPr>
            <w:r>
              <w:t>Governance</w:t>
            </w:r>
          </w:p>
        </w:tc>
        <w:tc>
          <w:tcPr>
            <w:tcW w:w="2340" w:type="dxa"/>
            <w:vAlign w:val="top"/>
          </w:tcPr>
          <w:p w14:paraId="3BF538FB">
            <w:pPr>
              <w:spacing w:after="0" w:line="240" w:lineRule="auto"/>
            </w:pPr>
            <w:r>
              <w:t>Change control</w:t>
            </w:r>
          </w:p>
        </w:tc>
        <w:tc>
          <w:tcPr>
            <w:tcW w:w="2340" w:type="dxa"/>
            <w:vAlign w:val="top"/>
          </w:tcPr>
          <w:p w14:paraId="644F1F22">
            <w:pPr>
              <w:spacing w:after="0" w:line="240" w:lineRule="auto"/>
            </w:pPr>
            <w:r>
              <w:t>Require written approval for changes to raw materials, packaging, process, or site.</w:t>
            </w:r>
          </w:p>
        </w:tc>
        <w:tc>
          <w:tcPr>
            <w:tcW w:w="2340" w:type="dxa"/>
            <w:vAlign w:val="top"/>
          </w:tcPr>
          <w:p w14:paraId="5B354BC8">
            <w:pPr>
              <w:spacing w:after="0" w:line="240" w:lineRule="auto"/>
            </w:pPr>
            <w:r>
              <w:t>Silent changes cause drift and inconsistent customer experience.</w:t>
            </w:r>
          </w:p>
        </w:tc>
      </w:tr>
      <w:tr w14:paraId="2DDE3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435FCC06">
            <w:pPr>
              <w:spacing w:after="0" w:line="240" w:lineRule="auto"/>
            </w:pPr>
            <w:r>
              <w:t>Governance</w:t>
            </w:r>
          </w:p>
        </w:tc>
        <w:tc>
          <w:tcPr>
            <w:tcW w:w="2340" w:type="dxa"/>
            <w:vAlign w:val="top"/>
          </w:tcPr>
          <w:p w14:paraId="3A915A7D">
            <w:pPr>
              <w:spacing w:after="0" w:line="240" w:lineRule="auto"/>
            </w:pPr>
            <w:r>
              <w:t>Audit rights</w:t>
            </w:r>
          </w:p>
        </w:tc>
        <w:tc>
          <w:tcPr>
            <w:tcW w:w="2340" w:type="dxa"/>
            <w:vAlign w:val="top"/>
          </w:tcPr>
          <w:p w14:paraId="4E8624CA">
            <w:pPr>
              <w:spacing w:after="0" w:line="240" w:lineRule="auto"/>
            </w:pPr>
            <w:r>
              <w:t>Allow document audits and (optional) site audits with reasonable notice.</w:t>
            </w:r>
          </w:p>
        </w:tc>
        <w:tc>
          <w:tcPr>
            <w:tcW w:w="2340" w:type="dxa"/>
            <w:vAlign w:val="top"/>
          </w:tcPr>
          <w:p w14:paraId="64AD51C1">
            <w:pPr>
              <w:spacing w:after="0" w:line="240" w:lineRule="auto"/>
            </w:pPr>
            <w:r>
              <w:t>You cannot verify systems before scaling.</w:t>
            </w:r>
          </w:p>
        </w:tc>
      </w:tr>
      <w:tr w14:paraId="3D2CE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40" w:type="dxa"/>
            <w:vAlign w:val="top"/>
          </w:tcPr>
          <w:p w14:paraId="75998E16">
            <w:pPr>
              <w:spacing w:after="0" w:line="240" w:lineRule="auto"/>
            </w:pPr>
            <w:r>
              <w:t>Governance</w:t>
            </w:r>
          </w:p>
        </w:tc>
        <w:tc>
          <w:tcPr>
            <w:tcW w:w="2340" w:type="dxa"/>
            <w:vAlign w:val="top"/>
          </w:tcPr>
          <w:p w14:paraId="421A1891">
            <w:pPr>
              <w:spacing w:after="0" w:line="240" w:lineRule="auto"/>
            </w:pPr>
            <w:r>
              <w:t>Termination &amp; exit</w:t>
            </w:r>
          </w:p>
        </w:tc>
        <w:tc>
          <w:tcPr>
            <w:tcW w:w="2340" w:type="dxa"/>
            <w:vAlign w:val="top"/>
          </w:tcPr>
          <w:p w14:paraId="2584DB20">
            <w:pPr>
              <w:spacing w:after="0" w:line="240" w:lineRule="auto"/>
            </w:pPr>
            <w:r>
              <w:t>Define termination triggers, data handover, and remaining inventory handling.</w:t>
            </w:r>
          </w:p>
        </w:tc>
        <w:tc>
          <w:tcPr>
            <w:tcW w:w="2340" w:type="dxa"/>
            <w:vAlign w:val="top"/>
          </w:tcPr>
          <w:p w14:paraId="22E61F93">
            <w:pPr>
              <w:spacing w:after="0" w:line="240" w:lineRule="auto"/>
            </w:pPr>
            <w:r>
              <w:t>Exit becomes slow, costly, and disruptive to supply.</w:t>
            </w:r>
          </w:p>
        </w:tc>
      </w:tr>
    </w:tbl>
    <w:p w14:paraId="2E3DCCC5"/>
    <w:p w14:paraId="5CF4453E">
      <w:r>
        <w:rPr>
          <w:b/>
        </w:rPr>
        <w:t>Rule: If it’s not written in the contract or exhibits, assume it’s not included.</w:t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C062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uiPriority="99" w:semiHidden="0" w:name="List"/>
    <w:lsdException w:uiPriority="99" w:semiHidden="0" w:name="List Bullet"/>
    <w:lsdException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semiHidden="0" w:name="List Continue"/>
    <w:lsdException w:qFormat="1"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qFormat="1"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qFormat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805</Words>
  <Characters>5011</Characters>
  <Lines>0</Lines>
  <Paragraphs>0</Paragraphs>
  <TotalTime>0</TotalTime>
  <ScaleCrop>false</ScaleCrop>
  <LinksUpToDate>false</LinksUpToDate>
  <CharactersWithSpaces>5677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2026-02-03T08:24:29Z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785CE9BBA47147F090A662302300A036_13</vt:lpwstr>
  </property>
</Properties>
</file>