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8349D">
      <w:pPr>
        <w:jc w:val="left"/>
      </w:pPr>
      <w:bookmarkStart w:id="0" w:name="_GoBack"/>
      <w:bookmarkEnd w:id="0"/>
      <w:r>
        <w:rPr>
          <w:b/>
          <w:sz w:val="36"/>
        </w:rPr>
        <w:t>Cosmetic Manufacturing Contract — Exhibit Pack Template (Copy &amp; Fill)</w:t>
      </w:r>
    </w:p>
    <w:p w14:paraId="71D2A2F4">
      <w:r>
        <w:rPr>
          <w:sz w:val="22"/>
        </w:rPr>
        <w:t>Use exhibits to lock operational reality (specs, tests, packaging, documents) without rewriting the master agreement.</w:t>
      </w:r>
    </w:p>
    <w:p w14:paraId="5F7DE6CA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2209"/>
        <w:gridCol w:w="2955"/>
        <w:gridCol w:w="2234"/>
      </w:tblGrid>
      <w:tr w14:paraId="7D04B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shd w:val="clear" w:color="auto" w:fill="E9EEF5"/>
            <w:vAlign w:val="center"/>
          </w:tcPr>
          <w:p w14:paraId="7C47846F">
            <w:pPr>
              <w:spacing w:after="0" w:line="240" w:lineRule="auto"/>
            </w:pPr>
            <w:r>
              <w:rPr>
                <w:b/>
              </w:rPr>
              <w:t>Exhibit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125D4200">
            <w:pPr>
              <w:spacing w:after="0" w:line="240" w:lineRule="auto"/>
            </w:pPr>
            <w:r>
              <w:rPr>
                <w:b/>
              </w:rPr>
              <w:t>Purpose (one sentence)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2D00306A">
            <w:pPr>
              <w:spacing w:after="0" w:line="240" w:lineRule="auto"/>
            </w:pPr>
            <w:r>
              <w:rPr>
                <w:b/>
              </w:rPr>
              <w:t>Fields to include (one sentence)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2C27569E">
            <w:pPr>
              <w:spacing w:after="0" w:line="240" w:lineRule="auto"/>
            </w:pPr>
            <w:r>
              <w:rPr>
                <w:b/>
              </w:rPr>
              <w:t>Owner / sign-off (one sentence)</w:t>
            </w:r>
          </w:p>
        </w:tc>
      </w:tr>
      <w:tr w14:paraId="52DE4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9368DEC">
            <w:pPr>
              <w:spacing w:after="0" w:line="240" w:lineRule="auto"/>
            </w:pPr>
            <w:r>
              <w:t>Exhibit A — Product &amp; Specs</w:t>
            </w:r>
          </w:p>
        </w:tc>
        <w:tc>
          <w:tcPr>
            <w:tcW w:w="2340" w:type="dxa"/>
            <w:vAlign w:val="top"/>
          </w:tcPr>
          <w:p w14:paraId="4E2995DB">
            <w:pPr>
              <w:spacing w:after="0" w:line="240" w:lineRule="auto"/>
            </w:pPr>
            <w:r>
              <w:t>Defines what is being made and the measurable finished product targets.</w:t>
            </w:r>
          </w:p>
        </w:tc>
        <w:tc>
          <w:tcPr>
            <w:tcW w:w="2340" w:type="dxa"/>
            <w:vAlign w:val="top"/>
          </w:tcPr>
          <w:p w14:paraId="0AB3B50B">
            <w:pPr>
              <w:spacing w:after="0" w:line="240" w:lineRule="auto"/>
            </w:pPr>
            <w:r>
              <w:t>SKU list, format, net content, pH/viscosity/appearance/odor targets, micro limits, fill tolerance.</w:t>
            </w:r>
          </w:p>
        </w:tc>
        <w:tc>
          <w:tcPr>
            <w:tcW w:w="2340" w:type="dxa"/>
            <w:vAlign w:val="top"/>
          </w:tcPr>
          <w:p w14:paraId="3DEB601A">
            <w:pPr>
              <w:spacing w:after="0" w:line="240" w:lineRule="auto"/>
            </w:pPr>
            <w:r>
              <w:t>Brand approves targets; manufacturer commits to meeting them at release.</w:t>
            </w:r>
          </w:p>
        </w:tc>
      </w:tr>
      <w:tr w14:paraId="6704D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46CF896">
            <w:pPr>
              <w:spacing w:after="0" w:line="240" w:lineRule="auto"/>
            </w:pPr>
            <w:r>
              <w:t>Exhibit B — Packaging BOM &amp; Specs</w:t>
            </w:r>
          </w:p>
        </w:tc>
        <w:tc>
          <w:tcPr>
            <w:tcW w:w="2340" w:type="dxa"/>
            <w:vAlign w:val="top"/>
          </w:tcPr>
          <w:p w14:paraId="4E9B82DC">
            <w:pPr>
              <w:spacing w:after="0" w:line="240" w:lineRule="auto"/>
            </w:pPr>
            <w:r>
              <w:t>Locks packaging components and key specifications to prevent silent substitutions.</w:t>
            </w:r>
          </w:p>
        </w:tc>
        <w:tc>
          <w:tcPr>
            <w:tcW w:w="2340" w:type="dxa"/>
            <w:vAlign w:val="top"/>
          </w:tcPr>
          <w:p w14:paraId="27E448CC">
            <w:pPr>
              <w:spacing w:after="0" w:line="240" w:lineRule="auto"/>
            </w:pPr>
            <w:r>
              <w:t>Component list, materials, pump output, liners/seals, drawings, approved vendor options, compatibility notes.</w:t>
            </w:r>
          </w:p>
        </w:tc>
        <w:tc>
          <w:tcPr>
            <w:tcW w:w="2340" w:type="dxa"/>
            <w:vAlign w:val="top"/>
          </w:tcPr>
          <w:p w14:paraId="65379A98">
            <w:pPr>
              <w:spacing w:after="0" w:line="240" w:lineRule="auto"/>
            </w:pPr>
            <w:r>
              <w:t>Brand approves BOM; manufacturer executes and requests approval for any change.</w:t>
            </w:r>
          </w:p>
        </w:tc>
      </w:tr>
      <w:tr w14:paraId="1ABD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CE76FAF">
            <w:pPr>
              <w:spacing w:after="0" w:line="240" w:lineRule="auto"/>
            </w:pPr>
            <w:r>
              <w:t>Exhibit C — Testing Plan</w:t>
            </w:r>
          </w:p>
        </w:tc>
        <w:tc>
          <w:tcPr>
            <w:tcW w:w="2340" w:type="dxa"/>
            <w:vAlign w:val="top"/>
          </w:tcPr>
          <w:p w14:paraId="7D940BB8">
            <w:pPr>
              <w:spacing w:after="0" w:line="240" w:lineRule="auto"/>
            </w:pPr>
            <w:r>
              <w:t>Sets what tests are run, when, and what counts as pass/fail.</w:t>
            </w:r>
          </w:p>
        </w:tc>
        <w:tc>
          <w:tcPr>
            <w:tcW w:w="2340" w:type="dxa"/>
            <w:vAlign w:val="top"/>
          </w:tcPr>
          <w:p w14:paraId="14C60601">
            <w:pPr>
              <w:spacing w:after="0" w:line="240" w:lineRule="auto"/>
            </w:pPr>
            <w:r>
              <w:t>Stability plan, micro plan, compatibility plan, transport/leak expectations, timelines, labs used.</w:t>
            </w:r>
          </w:p>
        </w:tc>
        <w:tc>
          <w:tcPr>
            <w:tcW w:w="2340" w:type="dxa"/>
            <w:vAlign w:val="top"/>
          </w:tcPr>
          <w:p w14:paraId="3FAEA48A">
            <w:pPr>
              <w:spacing w:after="0" w:line="240" w:lineRule="auto"/>
            </w:pPr>
            <w:r>
              <w:t>Brand confirms minimum plan; manufacturer schedules and provides results before release.</w:t>
            </w:r>
          </w:p>
        </w:tc>
      </w:tr>
      <w:tr w14:paraId="1603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3A5B6244">
            <w:pPr>
              <w:spacing w:after="0" w:line="240" w:lineRule="auto"/>
            </w:pPr>
            <w:r>
              <w:t>Exhibit D — Labeling &amp; Claims Boundary</w:t>
            </w:r>
          </w:p>
        </w:tc>
        <w:tc>
          <w:tcPr>
            <w:tcW w:w="2340" w:type="dxa"/>
            <w:vAlign w:val="top"/>
          </w:tcPr>
          <w:p w14:paraId="4B818C78">
            <w:pPr>
              <w:spacing w:after="0" w:line="240" w:lineRule="auto"/>
            </w:pPr>
            <w:r>
              <w:t>Aligns claims and labeling responsibilities across target markets.</w:t>
            </w:r>
          </w:p>
        </w:tc>
        <w:tc>
          <w:tcPr>
            <w:tcW w:w="2340" w:type="dxa"/>
            <w:vAlign w:val="top"/>
          </w:tcPr>
          <w:p w14:paraId="1A2A3DCB">
            <w:pPr>
              <w:spacing w:after="0" w:line="240" w:lineRule="auto"/>
            </w:pPr>
            <w:r>
              <w:t>Claims allowed/avoided, label elements, warning language if needed, market route, review workflow.</w:t>
            </w:r>
          </w:p>
        </w:tc>
        <w:tc>
          <w:tcPr>
            <w:tcW w:w="2340" w:type="dxa"/>
            <w:vAlign w:val="top"/>
          </w:tcPr>
          <w:p w14:paraId="37D4B126">
            <w:pPr>
              <w:spacing w:after="0" w:line="240" w:lineRule="auto"/>
            </w:pPr>
            <w:r>
              <w:t>Brand owns claims; manufacturer flags risks and supports compliance inputs.</w:t>
            </w:r>
          </w:p>
        </w:tc>
      </w:tr>
      <w:tr w14:paraId="7CD27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62AC2FD">
            <w:pPr>
              <w:spacing w:after="0" w:line="240" w:lineRule="auto"/>
            </w:pPr>
            <w:r>
              <w:t>Exhibit E — Documents &amp; Deliverables</w:t>
            </w:r>
          </w:p>
        </w:tc>
        <w:tc>
          <w:tcPr>
            <w:tcW w:w="2340" w:type="dxa"/>
            <w:vAlign w:val="top"/>
          </w:tcPr>
          <w:p w14:paraId="1482D3FD">
            <w:pPr>
              <w:spacing w:after="0" w:line="240" w:lineRule="auto"/>
            </w:pPr>
            <w:r>
              <w:t>Defines exactly what documents will be delivered and when.</w:t>
            </w:r>
          </w:p>
        </w:tc>
        <w:tc>
          <w:tcPr>
            <w:tcW w:w="2340" w:type="dxa"/>
            <w:vAlign w:val="top"/>
          </w:tcPr>
          <w:p w14:paraId="583CF1BA">
            <w:pPr>
              <w:spacing w:after="0" w:line="240" w:lineRule="auto"/>
            </w:pPr>
            <w:r>
              <w:t>INCI, COA, SDS, allergen/IFRA where relevant, batch record extracts, QC release checklist.</w:t>
            </w:r>
          </w:p>
        </w:tc>
        <w:tc>
          <w:tcPr>
            <w:tcW w:w="2340" w:type="dxa"/>
            <w:vAlign w:val="top"/>
          </w:tcPr>
          <w:p w14:paraId="50F1A1FF">
            <w:pPr>
              <w:spacing w:after="0" w:line="240" w:lineRule="auto"/>
            </w:pPr>
            <w:r>
              <w:t>Manufacturer provides on schedule; brand confirms receipt before launch.</w:t>
            </w:r>
          </w:p>
        </w:tc>
      </w:tr>
      <w:tr w14:paraId="23B4E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55AF89E">
            <w:pPr>
              <w:spacing w:after="0" w:line="240" w:lineRule="auto"/>
            </w:pPr>
            <w:r>
              <w:t>Exhibit F — Commercials &amp; Lead Time</w:t>
            </w:r>
          </w:p>
        </w:tc>
        <w:tc>
          <w:tcPr>
            <w:tcW w:w="2340" w:type="dxa"/>
            <w:vAlign w:val="top"/>
          </w:tcPr>
          <w:p w14:paraId="01EC1752">
            <w:pPr>
              <w:spacing w:after="0" w:line="240" w:lineRule="auto"/>
            </w:pPr>
            <w:r>
              <w:t>Makes pricing, MOQs, and lead-time assumptions comparable and enforceable.</w:t>
            </w:r>
          </w:p>
        </w:tc>
        <w:tc>
          <w:tcPr>
            <w:tcW w:w="2340" w:type="dxa"/>
            <w:vAlign w:val="top"/>
          </w:tcPr>
          <w:p w14:paraId="30CFFB67">
            <w:pPr>
              <w:spacing w:after="0" w:line="240" w:lineRule="auto"/>
            </w:pPr>
            <w:r>
              <w:t>Unit price inclusions, one-time fees, optional services, MOQ/product vs packaging MOQ, tier pricing, lead time inputs.</w:t>
            </w:r>
          </w:p>
        </w:tc>
        <w:tc>
          <w:tcPr>
            <w:tcW w:w="2340" w:type="dxa"/>
            <w:vAlign w:val="top"/>
          </w:tcPr>
          <w:p w14:paraId="02D409A2">
            <w:pPr>
              <w:spacing w:after="0" w:line="240" w:lineRule="auto"/>
            </w:pPr>
            <w:r>
              <w:t>Both parties sign; changes require written amendment or re-quote.</w:t>
            </w:r>
          </w:p>
        </w:tc>
      </w:tr>
      <w:tr w14:paraId="6B365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71F60C0F">
            <w:pPr>
              <w:spacing w:after="0" w:line="240" w:lineRule="auto"/>
            </w:pPr>
            <w:r>
              <w:t>Exhibit G — Change Control</w:t>
            </w:r>
          </w:p>
        </w:tc>
        <w:tc>
          <w:tcPr>
            <w:tcW w:w="2340" w:type="dxa"/>
            <w:vAlign w:val="top"/>
          </w:tcPr>
          <w:p w14:paraId="5D5E192D">
            <w:pPr>
              <w:spacing w:after="0" w:line="240" w:lineRule="auto"/>
            </w:pPr>
            <w:r>
              <w:t>Prevents drift by requiring written approval for changes that affect performance or compliance.</w:t>
            </w:r>
          </w:p>
        </w:tc>
        <w:tc>
          <w:tcPr>
            <w:tcW w:w="2340" w:type="dxa"/>
            <w:vAlign w:val="top"/>
          </w:tcPr>
          <w:p w14:paraId="28524CCB">
            <w:pPr>
              <w:spacing w:after="0" w:line="240" w:lineRule="auto"/>
            </w:pPr>
            <w:r>
              <w:t>Triggers (raw, packaging, process, site), approval steps, versioning, re-test requirements, notice period.</w:t>
            </w:r>
          </w:p>
        </w:tc>
        <w:tc>
          <w:tcPr>
            <w:tcW w:w="2340" w:type="dxa"/>
            <w:vAlign w:val="top"/>
          </w:tcPr>
          <w:p w14:paraId="12777855">
            <w:pPr>
              <w:spacing w:after="0" w:line="240" w:lineRule="auto"/>
            </w:pPr>
            <w:r>
              <w:t>Manufacturer initiates change request; brand approves before implementation.</w:t>
            </w:r>
          </w:p>
        </w:tc>
      </w:tr>
      <w:tr w14:paraId="0503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9CAC218">
            <w:pPr>
              <w:spacing w:after="0" w:line="240" w:lineRule="auto"/>
            </w:pPr>
            <w:r>
              <w:t>Exhibit H — Quality Release &amp; Remedies</w:t>
            </w:r>
          </w:p>
        </w:tc>
        <w:tc>
          <w:tcPr>
            <w:tcW w:w="2340" w:type="dxa"/>
            <w:vAlign w:val="top"/>
          </w:tcPr>
          <w:p w14:paraId="0479046C">
            <w:pPr>
              <w:spacing w:after="0" w:line="240" w:lineRule="auto"/>
            </w:pPr>
            <w:r>
              <w:t>Defines release process and what happens if batches fail specs.</w:t>
            </w:r>
          </w:p>
        </w:tc>
        <w:tc>
          <w:tcPr>
            <w:tcW w:w="2340" w:type="dxa"/>
            <w:vAlign w:val="top"/>
          </w:tcPr>
          <w:p w14:paraId="69553F3D">
            <w:pPr>
              <w:spacing w:after="0" w:line="240" w:lineRule="auto"/>
            </w:pPr>
            <w:r>
              <w:t>Release gate documents, defect definitions, investigation steps, rework/replace/credit timelines, logistics responsibility.</w:t>
            </w:r>
          </w:p>
        </w:tc>
        <w:tc>
          <w:tcPr>
            <w:tcW w:w="2340" w:type="dxa"/>
            <w:vAlign w:val="top"/>
          </w:tcPr>
          <w:p w14:paraId="4B30D526">
            <w:pPr>
              <w:spacing w:after="0" w:line="240" w:lineRule="auto"/>
            </w:pPr>
            <w:r>
              <w:t>Manufacturer executes remedies; brand provides evidence and approves final disposition.</w:t>
            </w:r>
          </w:p>
        </w:tc>
      </w:tr>
      <w:tr w14:paraId="4B7CA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A4E1C47">
            <w:pPr>
              <w:spacing w:after="0" w:line="240" w:lineRule="auto"/>
            </w:pPr>
            <w:r>
              <w:t>Exhibit I — Traceability &amp; Retention</w:t>
            </w:r>
          </w:p>
        </w:tc>
        <w:tc>
          <w:tcPr>
            <w:tcW w:w="2340" w:type="dxa"/>
            <w:vAlign w:val="top"/>
          </w:tcPr>
          <w:p w14:paraId="356D69BF">
            <w:pPr>
              <w:spacing w:after="0" w:line="240" w:lineRule="auto"/>
            </w:pPr>
            <w:r>
              <w:t>Ensures issues can be traced and investigated with retained samples and records.</w:t>
            </w:r>
          </w:p>
        </w:tc>
        <w:tc>
          <w:tcPr>
            <w:tcW w:w="2340" w:type="dxa"/>
            <w:vAlign w:val="top"/>
          </w:tcPr>
          <w:p w14:paraId="7844AF51">
            <w:pPr>
              <w:spacing w:after="0" w:line="240" w:lineRule="auto"/>
            </w:pPr>
            <w:r>
              <w:t>Lot mapping, retention sample rules, record retention period, recall support contacts.</w:t>
            </w:r>
          </w:p>
        </w:tc>
        <w:tc>
          <w:tcPr>
            <w:tcW w:w="2340" w:type="dxa"/>
            <w:vAlign w:val="top"/>
          </w:tcPr>
          <w:p w14:paraId="297F3D5E">
            <w:pPr>
              <w:spacing w:after="0" w:line="240" w:lineRule="auto"/>
            </w:pPr>
            <w:r>
              <w:t>Manufacturer maintains records; brand can request traceability reports when needed.</w:t>
            </w:r>
          </w:p>
        </w:tc>
      </w:tr>
    </w:tbl>
    <w:p w14:paraId="3A0A282F"/>
    <w:p w14:paraId="2FBA5E2B">
      <w:r>
        <w:rPr>
          <w:b/>
        </w:rPr>
        <w:t>Tip: Keep the master agreement short; put operational details in exhibits and version-control them.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743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2587</Characters>
  <Lines>0</Lines>
  <Paragraphs>0</Paragraphs>
  <TotalTime>0</TotalTime>
  <ScaleCrop>false</ScaleCrop>
  <LinksUpToDate>false</LinksUpToDate>
  <CharactersWithSpaces>2942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2026-02-03T08:24:58Z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7AA616CE8442470A816B2222CE44E158_13</vt:lpwstr>
  </property>
</Properties>
</file>