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64EC1">
      <w:pPr>
        <w:jc w:val="left"/>
      </w:pPr>
      <w:bookmarkStart w:id="0" w:name="_GoBack"/>
      <w:bookmarkEnd w:id="0"/>
      <w:r>
        <w:rPr>
          <w:b/>
          <w:sz w:val="36"/>
        </w:rPr>
        <w:t xml:space="preserve"> Apples-to-Apples Quote Alignment (Beyond Price)</w:t>
      </w:r>
    </w:p>
    <w:p w14:paraId="6C84DA53">
      <w:r>
        <w:rPr>
          <w:sz w:val="22"/>
        </w:rPr>
        <w:t>Use this table to confirm all quotes are scope-aligned before comparing price. Each row is one fixed field with a one-sentence definition.</w:t>
      </w:r>
    </w:p>
    <w:p w14:paraId="725960E2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2335"/>
        <w:gridCol w:w="1802"/>
        <w:gridCol w:w="1802"/>
        <w:gridCol w:w="1803"/>
      </w:tblGrid>
      <w:tr w14:paraId="40C75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shd w:val="clear" w:color="auto" w:fill="E9EEF5"/>
            <w:vAlign w:val="center"/>
          </w:tcPr>
          <w:p w14:paraId="270A6FF6">
            <w:pPr>
              <w:spacing w:after="0" w:line="240" w:lineRule="auto"/>
            </w:pPr>
            <w:r>
              <w:rPr>
                <w:b/>
              </w:rPr>
              <w:t>Scope item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03EAC5DE">
            <w:pPr>
              <w:spacing w:after="0" w:line="240" w:lineRule="auto"/>
            </w:pPr>
            <w:r>
              <w:rPr>
                <w:b/>
              </w:rPr>
              <w:t>What “complete” looks like (one sentence)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214DE174">
            <w:pPr>
              <w:spacing w:after="0" w:line="240" w:lineRule="auto"/>
            </w:pPr>
            <w:r>
              <w:rPr>
                <w:b/>
              </w:rPr>
              <w:t>Supplier A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4FA91530">
            <w:pPr>
              <w:spacing w:after="0" w:line="240" w:lineRule="auto"/>
            </w:pPr>
            <w:r>
              <w:rPr>
                <w:b/>
              </w:rPr>
              <w:t>Supplier B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005F90F4">
            <w:pPr>
              <w:spacing w:after="0" w:line="240" w:lineRule="auto"/>
            </w:pPr>
            <w:r>
              <w:rPr>
                <w:b/>
              </w:rPr>
              <w:t>Supplier C</w:t>
            </w:r>
          </w:p>
        </w:tc>
      </w:tr>
      <w:tr w14:paraId="0246F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7164405A">
            <w:pPr>
              <w:spacing w:after="0" w:line="240" w:lineRule="auto"/>
            </w:pPr>
            <w:r>
              <w:t>Product format &amp; size</w:t>
            </w:r>
          </w:p>
        </w:tc>
        <w:tc>
          <w:tcPr>
            <w:tcW w:w="1872" w:type="dxa"/>
            <w:vAlign w:val="top"/>
          </w:tcPr>
          <w:p w14:paraId="6199A7C5">
            <w:pPr>
              <w:spacing w:after="0" w:line="240" w:lineRule="auto"/>
            </w:pPr>
            <w:r>
              <w:t>The quote states the exact format and net content (no “standard” or “similar”).</w:t>
            </w:r>
          </w:p>
        </w:tc>
        <w:tc>
          <w:tcPr>
            <w:tcW w:w="1872" w:type="dxa"/>
            <w:vAlign w:val="top"/>
          </w:tcPr>
          <w:p w14:paraId="40969B12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5A3F6350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40DADED5">
            <w:pPr>
              <w:spacing w:after="0" w:line="240" w:lineRule="auto"/>
            </w:pPr>
          </w:p>
        </w:tc>
      </w:tr>
      <w:tr w14:paraId="6AD0F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779AC718">
            <w:pPr>
              <w:spacing w:after="0" w:line="240" w:lineRule="auto"/>
            </w:pPr>
            <w:r>
              <w:t>Formula type</w:t>
            </w:r>
          </w:p>
        </w:tc>
        <w:tc>
          <w:tcPr>
            <w:tcW w:w="1872" w:type="dxa"/>
            <w:vAlign w:val="top"/>
          </w:tcPr>
          <w:p w14:paraId="742EC03B">
            <w:pPr>
              <w:spacing w:after="0" w:line="240" w:lineRule="auto"/>
            </w:pPr>
            <w:r>
              <w:t>The quote specifies stock vs custom and what changes are allowed without re-quoting.</w:t>
            </w:r>
          </w:p>
        </w:tc>
        <w:tc>
          <w:tcPr>
            <w:tcW w:w="1872" w:type="dxa"/>
            <w:vAlign w:val="top"/>
          </w:tcPr>
          <w:p w14:paraId="7553C691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77108D7E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70AA1A4B">
            <w:pPr>
              <w:spacing w:after="0" w:line="240" w:lineRule="auto"/>
            </w:pPr>
          </w:p>
        </w:tc>
      </w:tr>
      <w:tr w14:paraId="2D638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0C8E3E8F">
            <w:pPr>
              <w:spacing w:after="0" w:line="240" w:lineRule="auto"/>
            </w:pPr>
            <w:r>
              <w:t>Performance targets</w:t>
            </w:r>
          </w:p>
        </w:tc>
        <w:tc>
          <w:tcPr>
            <w:tcW w:w="1872" w:type="dxa"/>
            <w:vAlign w:val="top"/>
          </w:tcPr>
          <w:p w14:paraId="605F50FD">
            <w:pPr>
              <w:spacing w:after="0" w:line="240" w:lineRule="auto"/>
            </w:pPr>
            <w:r>
              <w:t>The quote lists 3 pass/fail targets (e.g., feel/finish, pH/viscosity/foam, fragrance intensity).</w:t>
            </w:r>
          </w:p>
        </w:tc>
        <w:tc>
          <w:tcPr>
            <w:tcW w:w="1872" w:type="dxa"/>
            <w:vAlign w:val="top"/>
          </w:tcPr>
          <w:p w14:paraId="2892ADA1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44B30246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09FD708A">
            <w:pPr>
              <w:spacing w:after="0" w:line="240" w:lineRule="auto"/>
            </w:pPr>
          </w:p>
        </w:tc>
      </w:tr>
      <w:tr w14:paraId="4210E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684365CA">
            <w:pPr>
              <w:spacing w:after="0" w:line="240" w:lineRule="auto"/>
            </w:pPr>
            <w:r>
              <w:t>Packaging components</w:t>
            </w:r>
          </w:p>
        </w:tc>
        <w:tc>
          <w:tcPr>
            <w:tcW w:w="1872" w:type="dxa"/>
            <w:vAlign w:val="top"/>
          </w:tcPr>
          <w:p w14:paraId="5090C323">
            <w:pPr>
              <w:spacing w:after="0" w:line="240" w:lineRule="auto"/>
            </w:pPr>
            <w:r>
              <w:t>The quote itemizes every component (bottle, pump, cap, inner seal, carton).</w:t>
            </w:r>
          </w:p>
        </w:tc>
        <w:tc>
          <w:tcPr>
            <w:tcW w:w="1872" w:type="dxa"/>
            <w:vAlign w:val="top"/>
          </w:tcPr>
          <w:p w14:paraId="0B6A082D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1D420359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26AB03A8">
            <w:pPr>
              <w:spacing w:after="0" w:line="240" w:lineRule="auto"/>
            </w:pPr>
          </w:p>
        </w:tc>
      </w:tr>
      <w:tr w14:paraId="06C2B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10526AAF">
            <w:pPr>
              <w:spacing w:after="0" w:line="240" w:lineRule="auto"/>
            </w:pPr>
            <w:r>
              <w:t>Packaging specs</w:t>
            </w:r>
          </w:p>
        </w:tc>
        <w:tc>
          <w:tcPr>
            <w:tcW w:w="1872" w:type="dxa"/>
            <w:vAlign w:val="top"/>
          </w:tcPr>
          <w:p w14:paraId="29D5B949">
            <w:pPr>
              <w:spacing w:after="0" w:line="240" w:lineRule="auto"/>
            </w:pPr>
            <w:r>
              <w:t>The quote includes material + key specs (capacity, gram weight/wall, pump output).</w:t>
            </w:r>
          </w:p>
        </w:tc>
        <w:tc>
          <w:tcPr>
            <w:tcW w:w="1872" w:type="dxa"/>
            <w:vAlign w:val="top"/>
          </w:tcPr>
          <w:p w14:paraId="696169B7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4257202E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701A85F2">
            <w:pPr>
              <w:spacing w:after="0" w:line="240" w:lineRule="auto"/>
            </w:pPr>
          </w:p>
        </w:tc>
      </w:tr>
      <w:tr w14:paraId="52EB3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1C37BB5A">
            <w:pPr>
              <w:spacing w:after="0" w:line="240" w:lineRule="auto"/>
            </w:pPr>
            <w:r>
              <w:t>Printing &amp; decoration</w:t>
            </w:r>
          </w:p>
        </w:tc>
        <w:tc>
          <w:tcPr>
            <w:tcW w:w="1872" w:type="dxa"/>
            <w:vAlign w:val="top"/>
          </w:tcPr>
          <w:p w14:paraId="0DF99D65">
            <w:pPr>
              <w:spacing w:after="0" w:line="240" w:lineRule="auto"/>
            </w:pPr>
            <w:r>
              <w:t>The quote defines label material + finish and whether it’s included in unit price.</w:t>
            </w:r>
          </w:p>
        </w:tc>
        <w:tc>
          <w:tcPr>
            <w:tcW w:w="1872" w:type="dxa"/>
            <w:vAlign w:val="top"/>
          </w:tcPr>
          <w:p w14:paraId="622B8BBA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1FD58C66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7FB3BD03">
            <w:pPr>
              <w:spacing w:after="0" w:line="240" w:lineRule="auto"/>
            </w:pPr>
          </w:p>
        </w:tc>
      </w:tr>
      <w:tr w14:paraId="555B9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47FECF17">
            <w:pPr>
              <w:spacing w:after="0" w:line="240" w:lineRule="auto"/>
            </w:pPr>
            <w:r>
              <w:t>Secondary packaging</w:t>
            </w:r>
          </w:p>
        </w:tc>
        <w:tc>
          <w:tcPr>
            <w:tcW w:w="1872" w:type="dxa"/>
            <w:vAlign w:val="top"/>
          </w:tcPr>
          <w:p w14:paraId="5F9134A9">
            <w:pPr>
              <w:spacing w:after="0" w:line="240" w:lineRule="auto"/>
            </w:pPr>
            <w:r>
              <w:t>The quote confirms tamper/protection items (shrink band, seal, inserts, protective packing).</w:t>
            </w:r>
          </w:p>
        </w:tc>
        <w:tc>
          <w:tcPr>
            <w:tcW w:w="1872" w:type="dxa"/>
            <w:vAlign w:val="top"/>
          </w:tcPr>
          <w:p w14:paraId="5A36DE06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1B85DC71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2E98CFCC">
            <w:pPr>
              <w:spacing w:after="0" w:line="240" w:lineRule="auto"/>
            </w:pPr>
          </w:p>
        </w:tc>
      </w:tr>
      <w:tr w14:paraId="7DED1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2B643535">
            <w:pPr>
              <w:spacing w:after="0" w:line="240" w:lineRule="auto"/>
            </w:pPr>
            <w:r>
              <w:t>Tests included</w:t>
            </w:r>
          </w:p>
        </w:tc>
        <w:tc>
          <w:tcPr>
            <w:tcW w:w="1872" w:type="dxa"/>
            <w:vAlign w:val="top"/>
          </w:tcPr>
          <w:p w14:paraId="3727CD25">
            <w:pPr>
              <w:spacing w:after="0" w:line="240" w:lineRule="auto"/>
            </w:pPr>
            <w:r>
              <w:t>The quote lists included tests with cost + timeline + basic pass criteria.</w:t>
            </w:r>
          </w:p>
        </w:tc>
        <w:tc>
          <w:tcPr>
            <w:tcW w:w="1872" w:type="dxa"/>
            <w:vAlign w:val="top"/>
          </w:tcPr>
          <w:p w14:paraId="61F36B9D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671CFEC1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6E636F6C">
            <w:pPr>
              <w:spacing w:after="0" w:line="240" w:lineRule="auto"/>
            </w:pPr>
          </w:p>
        </w:tc>
      </w:tr>
      <w:tr w14:paraId="70067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5B2702B2">
            <w:pPr>
              <w:spacing w:after="0" w:line="240" w:lineRule="auto"/>
            </w:pPr>
            <w:r>
              <w:t>Documents included</w:t>
            </w:r>
          </w:p>
        </w:tc>
        <w:tc>
          <w:tcPr>
            <w:tcW w:w="1872" w:type="dxa"/>
            <w:vAlign w:val="top"/>
          </w:tcPr>
          <w:p w14:paraId="25FCC888">
            <w:pPr>
              <w:spacing w:after="0" w:line="240" w:lineRule="auto"/>
            </w:pPr>
            <w:r>
              <w:t>The quote lists deliverables (INCI, COA, SDS, and IFRA/allergens if applicable).</w:t>
            </w:r>
          </w:p>
        </w:tc>
        <w:tc>
          <w:tcPr>
            <w:tcW w:w="1872" w:type="dxa"/>
            <w:vAlign w:val="top"/>
          </w:tcPr>
          <w:p w14:paraId="14E0D3D7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6EC12831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26446AC4">
            <w:pPr>
              <w:spacing w:after="0" w:line="240" w:lineRule="auto"/>
            </w:pPr>
          </w:p>
        </w:tc>
      </w:tr>
      <w:tr w14:paraId="25C54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289EAD61">
            <w:pPr>
              <w:spacing w:after="0" w:line="240" w:lineRule="auto"/>
            </w:pPr>
            <w:r>
              <w:t>MOQ &amp; price tiers</w:t>
            </w:r>
          </w:p>
        </w:tc>
        <w:tc>
          <w:tcPr>
            <w:tcW w:w="1872" w:type="dxa"/>
            <w:vAlign w:val="top"/>
          </w:tcPr>
          <w:p w14:paraId="1A8D9BD2">
            <w:pPr>
              <w:spacing w:after="0" w:line="240" w:lineRule="auto"/>
            </w:pPr>
            <w:r>
              <w:t>The quote separates product MOQ from packaging MOQ and shows tier pricing.</w:t>
            </w:r>
          </w:p>
        </w:tc>
        <w:tc>
          <w:tcPr>
            <w:tcW w:w="1872" w:type="dxa"/>
            <w:vAlign w:val="top"/>
          </w:tcPr>
          <w:p w14:paraId="09A19D03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135B59A1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461C6DFB">
            <w:pPr>
              <w:spacing w:after="0" w:line="240" w:lineRule="auto"/>
            </w:pPr>
          </w:p>
        </w:tc>
      </w:tr>
      <w:tr w14:paraId="0DEEB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7C6E50C3">
            <w:pPr>
              <w:spacing w:after="0" w:line="240" w:lineRule="auto"/>
            </w:pPr>
            <w:r>
              <w:t>Lead time assumptions</w:t>
            </w:r>
          </w:p>
        </w:tc>
        <w:tc>
          <w:tcPr>
            <w:tcW w:w="1872" w:type="dxa"/>
            <w:vAlign w:val="top"/>
          </w:tcPr>
          <w:p w14:paraId="63B13485">
            <w:pPr>
              <w:spacing w:after="0" w:line="240" w:lineRule="auto"/>
            </w:pPr>
            <w:r>
              <w:t>The lead time includes packaging sourcing, printing, and testing—not only filling.</w:t>
            </w:r>
          </w:p>
        </w:tc>
        <w:tc>
          <w:tcPr>
            <w:tcW w:w="1872" w:type="dxa"/>
            <w:vAlign w:val="top"/>
          </w:tcPr>
          <w:p w14:paraId="1210196F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0962C312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1F4429F8">
            <w:pPr>
              <w:spacing w:after="0" w:line="240" w:lineRule="auto"/>
            </w:pPr>
          </w:p>
        </w:tc>
      </w:tr>
      <w:tr w14:paraId="2DFF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7E97C90F">
            <w:pPr>
              <w:spacing w:after="0" w:line="240" w:lineRule="auto"/>
            </w:pPr>
            <w:r>
              <w:t>Payment &amp; Incoterms</w:t>
            </w:r>
          </w:p>
        </w:tc>
        <w:tc>
          <w:tcPr>
            <w:tcW w:w="1872" w:type="dxa"/>
            <w:vAlign w:val="top"/>
          </w:tcPr>
          <w:p w14:paraId="2A599FB9">
            <w:pPr>
              <w:spacing w:after="0" w:line="240" w:lineRule="auto"/>
            </w:pPr>
            <w:r>
              <w:t>The quote states payment milestones and Incoterms in the same way across suppliers.</w:t>
            </w:r>
          </w:p>
        </w:tc>
        <w:tc>
          <w:tcPr>
            <w:tcW w:w="1872" w:type="dxa"/>
            <w:vAlign w:val="top"/>
          </w:tcPr>
          <w:p w14:paraId="61AFD268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2FB29709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2E524105">
            <w:pPr>
              <w:spacing w:after="0" w:line="240" w:lineRule="auto"/>
            </w:pPr>
          </w:p>
        </w:tc>
      </w:tr>
      <w:tr w14:paraId="48D2E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50DD74C1">
            <w:pPr>
              <w:spacing w:after="0" w:line="240" w:lineRule="auto"/>
            </w:pPr>
            <w:r>
              <w:t>Reject / rework terms</w:t>
            </w:r>
          </w:p>
        </w:tc>
        <w:tc>
          <w:tcPr>
            <w:tcW w:w="1872" w:type="dxa"/>
            <w:vAlign w:val="top"/>
          </w:tcPr>
          <w:p w14:paraId="69A803F0">
            <w:pPr>
              <w:spacing w:after="0" w:line="240" w:lineRule="auto"/>
            </w:pPr>
            <w:r>
              <w:t>The quote states remedy rules (rework/replace/credit) with a clear timeframe.</w:t>
            </w:r>
          </w:p>
        </w:tc>
        <w:tc>
          <w:tcPr>
            <w:tcW w:w="1872" w:type="dxa"/>
            <w:vAlign w:val="top"/>
          </w:tcPr>
          <w:p w14:paraId="649EBC8A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333C716A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7354AF80">
            <w:pPr>
              <w:spacing w:after="0" w:line="240" w:lineRule="auto"/>
            </w:pPr>
          </w:p>
        </w:tc>
      </w:tr>
    </w:tbl>
    <w:p w14:paraId="234BFBEB"/>
    <w:p w14:paraId="7F0F45F3">
      <w:r>
        <w:rPr>
          <w:b/>
        </w:rPr>
        <w:t>Rule: If it’s not itemized, assume it’s extra.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414228E7"/>
    <w:rsid w:val="455B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qFormat="1"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qFormat="1"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243</Words>
  <Characters>1426</Characters>
  <Lines>0</Lines>
  <Paragraphs>0</Paragraphs>
  <TotalTime>0</TotalTime>
  <ScaleCrop>false</ScaleCrop>
  <LinksUpToDate>false</LinksUpToDate>
  <CharactersWithSpaces>1635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2026-02-02T06:49:03Z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7BBDF510A7284F3A81123C98FCD4CE24_13</vt:lpwstr>
  </property>
  <property fmtid="{D5CDD505-2E9C-101B-9397-08002B2CF9AE}" pid="4" name="KSOTemplateDocerSaveRecord">
    <vt:lpwstr>eyJoZGlkIjoiMWM0MDQ5NTY4OTJjYzBjZTU5NzRjZjMwNzk5ZDRjZDciLCJ1c2VySWQiOiIxMDE1NTA4MjU5In0=</vt:lpwstr>
  </property>
</Properties>
</file>