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710B4">
      <w:pPr>
        <w:jc w:val="left"/>
      </w:pPr>
      <w:bookmarkStart w:id="0" w:name="_GoBack"/>
      <w:bookmarkEnd w:id="0"/>
      <w:r>
        <w:rPr>
          <w:b/>
          <w:sz w:val="36"/>
        </w:rPr>
        <w:t xml:space="preserve"> True Total Cost View</w:t>
      </w:r>
    </w:p>
    <w:p w14:paraId="39372226">
      <w:r>
        <w:rPr>
          <w:sz w:val="22"/>
        </w:rPr>
        <w:t>Use this table to split “real cost” into fixed buckets so low unit prices can’t hide packaging, testing, and one-time fees.</w:t>
      </w:r>
    </w:p>
    <w:p w14:paraId="6B0F9030"/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3358"/>
        <w:gridCol w:w="1742"/>
        <w:gridCol w:w="1492"/>
        <w:gridCol w:w="1401"/>
      </w:tblGrid>
      <w:tr w14:paraId="350CD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shd w:val="clear" w:color="auto" w:fill="E9EEF5"/>
            <w:vAlign w:val="center"/>
          </w:tcPr>
          <w:p w14:paraId="4AF7A8D3">
            <w:pPr>
              <w:spacing w:after="0" w:line="240" w:lineRule="auto"/>
            </w:pPr>
            <w:r>
              <w:rPr>
                <w:b/>
              </w:rPr>
              <w:t>Cost bucket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33290E54">
            <w:pPr>
              <w:spacing w:after="0" w:line="240" w:lineRule="auto"/>
            </w:pPr>
            <w:r>
              <w:rPr>
                <w:b/>
              </w:rPr>
              <w:t>What to request (one sentence)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1B72B6AA">
            <w:pPr>
              <w:spacing w:after="0" w:line="240" w:lineRule="auto"/>
            </w:pPr>
            <w:r>
              <w:rPr>
                <w:b/>
              </w:rPr>
              <w:t>Charged as (unit/one-time/optional)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2696322E">
            <w:pPr>
              <w:spacing w:after="0" w:line="240" w:lineRule="auto"/>
            </w:pPr>
            <w:r>
              <w:rPr>
                <w:b/>
              </w:rPr>
              <w:t>Supplier quote</w:t>
            </w:r>
          </w:p>
        </w:tc>
        <w:tc>
          <w:tcPr>
            <w:tcW w:w="1872" w:type="dxa"/>
            <w:shd w:val="clear" w:color="auto" w:fill="E9EEF5"/>
            <w:vAlign w:val="center"/>
          </w:tcPr>
          <w:p w14:paraId="52494451">
            <w:pPr>
              <w:spacing w:after="0" w:line="240" w:lineRule="auto"/>
            </w:pPr>
            <w:r>
              <w:rPr>
                <w:b/>
              </w:rPr>
              <w:t>Notes</w:t>
            </w:r>
          </w:p>
        </w:tc>
      </w:tr>
      <w:tr w14:paraId="2DCB3E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5024B4B0">
            <w:pPr>
              <w:spacing w:after="0" w:line="240" w:lineRule="auto"/>
            </w:pPr>
            <w:r>
              <w:t>Unit price (fill)</w:t>
            </w:r>
          </w:p>
        </w:tc>
        <w:tc>
          <w:tcPr>
            <w:tcW w:w="1872" w:type="dxa"/>
            <w:vAlign w:val="top"/>
          </w:tcPr>
          <w:p w14:paraId="06C2E771">
            <w:pPr>
              <w:spacing w:after="0" w:line="240" w:lineRule="auto"/>
            </w:pPr>
            <w:r>
              <w:t>Confirm what the unit price covers (formula + filling) and what it excludes.</w:t>
            </w:r>
          </w:p>
        </w:tc>
        <w:tc>
          <w:tcPr>
            <w:tcW w:w="1872" w:type="dxa"/>
            <w:vAlign w:val="top"/>
          </w:tcPr>
          <w:p w14:paraId="035C236F">
            <w:pPr>
              <w:spacing w:after="0" w:line="240" w:lineRule="auto"/>
            </w:pPr>
            <w:r>
              <w:t>unit</w:t>
            </w:r>
          </w:p>
        </w:tc>
        <w:tc>
          <w:tcPr>
            <w:tcW w:w="1872" w:type="dxa"/>
            <w:vAlign w:val="top"/>
          </w:tcPr>
          <w:p w14:paraId="68BBAFFF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6785A818">
            <w:pPr>
              <w:spacing w:after="0" w:line="240" w:lineRule="auto"/>
            </w:pPr>
          </w:p>
        </w:tc>
      </w:tr>
      <w:tr w14:paraId="1D4A9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2337B0C6">
            <w:pPr>
              <w:spacing w:after="0" w:line="240" w:lineRule="auto"/>
            </w:pPr>
            <w:r>
              <w:t>Primary packaging</w:t>
            </w:r>
          </w:p>
        </w:tc>
        <w:tc>
          <w:tcPr>
            <w:tcW w:w="1872" w:type="dxa"/>
            <w:vAlign w:val="top"/>
          </w:tcPr>
          <w:p w14:paraId="4F3C79C6">
            <w:pPr>
              <w:spacing w:after="0" w:line="240" w:lineRule="auto"/>
            </w:pPr>
            <w:r>
              <w:t>Itemize bottle/pump/cap/inner seal/case with material and key specs.</w:t>
            </w:r>
          </w:p>
        </w:tc>
        <w:tc>
          <w:tcPr>
            <w:tcW w:w="1872" w:type="dxa"/>
            <w:vAlign w:val="top"/>
          </w:tcPr>
          <w:p w14:paraId="5D864FE8">
            <w:pPr>
              <w:spacing w:after="0" w:line="240" w:lineRule="auto"/>
            </w:pPr>
            <w:r>
              <w:t>unit</w:t>
            </w:r>
          </w:p>
        </w:tc>
        <w:tc>
          <w:tcPr>
            <w:tcW w:w="1872" w:type="dxa"/>
            <w:vAlign w:val="top"/>
          </w:tcPr>
          <w:p w14:paraId="2CE7772E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57000497">
            <w:pPr>
              <w:spacing w:after="0" w:line="240" w:lineRule="auto"/>
            </w:pPr>
          </w:p>
        </w:tc>
      </w:tr>
      <w:tr w14:paraId="7AF93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4D1F551">
            <w:pPr>
              <w:spacing w:after="0" w:line="240" w:lineRule="auto"/>
            </w:pPr>
            <w:r>
              <w:t>Printing &amp; decoration</w:t>
            </w:r>
          </w:p>
        </w:tc>
        <w:tc>
          <w:tcPr>
            <w:tcW w:w="1872" w:type="dxa"/>
            <w:vAlign w:val="top"/>
          </w:tcPr>
          <w:p w14:paraId="32FE1866">
            <w:pPr>
              <w:spacing w:after="0" w:line="240" w:lineRule="auto"/>
            </w:pPr>
            <w:r>
              <w:t>Specify label material + finish and list all print setup charges if any.</w:t>
            </w:r>
          </w:p>
        </w:tc>
        <w:tc>
          <w:tcPr>
            <w:tcW w:w="1872" w:type="dxa"/>
            <w:vAlign w:val="top"/>
          </w:tcPr>
          <w:p w14:paraId="6335063F">
            <w:pPr>
              <w:spacing w:after="0" w:line="240" w:lineRule="auto"/>
            </w:pPr>
            <w:r>
              <w:t>unit / one-time</w:t>
            </w:r>
          </w:p>
        </w:tc>
        <w:tc>
          <w:tcPr>
            <w:tcW w:w="1872" w:type="dxa"/>
            <w:vAlign w:val="top"/>
          </w:tcPr>
          <w:p w14:paraId="048125B4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535E8E9F">
            <w:pPr>
              <w:spacing w:after="0" w:line="240" w:lineRule="auto"/>
            </w:pPr>
          </w:p>
        </w:tc>
      </w:tr>
      <w:tr w14:paraId="1CABE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7D8CBAFB">
            <w:pPr>
              <w:spacing w:after="0" w:line="240" w:lineRule="auto"/>
            </w:pPr>
            <w:r>
              <w:t>Secondary packaging</w:t>
            </w:r>
          </w:p>
        </w:tc>
        <w:tc>
          <w:tcPr>
            <w:tcW w:w="1872" w:type="dxa"/>
            <w:vAlign w:val="top"/>
          </w:tcPr>
          <w:p w14:paraId="7B9722EA">
            <w:pPr>
              <w:spacing w:after="0" w:line="240" w:lineRule="auto"/>
            </w:pPr>
            <w:r>
              <w:t>List shrink band, tamper seal, inserts, and protective packing as line items.</w:t>
            </w:r>
          </w:p>
        </w:tc>
        <w:tc>
          <w:tcPr>
            <w:tcW w:w="1872" w:type="dxa"/>
            <w:vAlign w:val="top"/>
          </w:tcPr>
          <w:p w14:paraId="52482F72">
            <w:pPr>
              <w:spacing w:after="0" w:line="240" w:lineRule="auto"/>
            </w:pPr>
            <w:r>
              <w:t>unit</w:t>
            </w:r>
          </w:p>
        </w:tc>
        <w:tc>
          <w:tcPr>
            <w:tcW w:w="1872" w:type="dxa"/>
            <w:vAlign w:val="top"/>
          </w:tcPr>
          <w:p w14:paraId="14EE05BE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2CF9EEC9">
            <w:pPr>
              <w:spacing w:after="0" w:line="240" w:lineRule="auto"/>
            </w:pPr>
          </w:p>
        </w:tc>
      </w:tr>
      <w:tr w14:paraId="00D32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6838B74E">
            <w:pPr>
              <w:spacing w:after="0" w:line="240" w:lineRule="auto"/>
            </w:pPr>
            <w:r>
              <w:t>One-time fees</w:t>
            </w:r>
          </w:p>
        </w:tc>
        <w:tc>
          <w:tcPr>
            <w:tcW w:w="1872" w:type="dxa"/>
            <w:vAlign w:val="top"/>
          </w:tcPr>
          <w:p w14:paraId="5D3880AE">
            <w:pPr>
              <w:spacing w:after="0" w:line="240" w:lineRule="auto"/>
            </w:pPr>
            <w:r>
              <w:t>List tooling/molds/plates/color matching fees separately with who owns the tools.</w:t>
            </w:r>
          </w:p>
        </w:tc>
        <w:tc>
          <w:tcPr>
            <w:tcW w:w="1872" w:type="dxa"/>
            <w:vAlign w:val="top"/>
          </w:tcPr>
          <w:p w14:paraId="3B83775D">
            <w:pPr>
              <w:spacing w:after="0" w:line="240" w:lineRule="auto"/>
            </w:pPr>
            <w:r>
              <w:t>one-time</w:t>
            </w:r>
          </w:p>
        </w:tc>
        <w:tc>
          <w:tcPr>
            <w:tcW w:w="1872" w:type="dxa"/>
            <w:vAlign w:val="top"/>
          </w:tcPr>
          <w:p w14:paraId="1131B833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71837B69">
            <w:pPr>
              <w:spacing w:after="0" w:line="240" w:lineRule="auto"/>
            </w:pPr>
          </w:p>
        </w:tc>
      </w:tr>
      <w:tr w14:paraId="5A710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15CB793B">
            <w:pPr>
              <w:spacing w:after="0" w:line="240" w:lineRule="auto"/>
            </w:pPr>
            <w:r>
              <w:t>Testing package</w:t>
            </w:r>
          </w:p>
        </w:tc>
        <w:tc>
          <w:tcPr>
            <w:tcW w:w="1872" w:type="dxa"/>
            <w:vAlign w:val="top"/>
          </w:tcPr>
          <w:p w14:paraId="46849586">
            <w:pPr>
              <w:spacing w:after="0" w:line="240" w:lineRule="auto"/>
            </w:pPr>
            <w:r>
              <w:t>List each included test with cost + timeline (stability/micro/compatibility/leak-drop).</w:t>
            </w:r>
          </w:p>
        </w:tc>
        <w:tc>
          <w:tcPr>
            <w:tcW w:w="1872" w:type="dxa"/>
            <w:vAlign w:val="top"/>
          </w:tcPr>
          <w:p w14:paraId="449C22E5">
            <w:pPr>
              <w:spacing w:after="0" w:line="240" w:lineRule="auto"/>
            </w:pPr>
            <w:r>
              <w:t>optional / one-time</w:t>
            </w:r>
          </w:p>
        </w:tc>
        <w:tc>
          <w:tcPr>
            <w:tcW w:w="1872" w:type="dxa"/>
            <w:vAlign w:val="top"/>
          </w:tcPr>
          <w:p w14:paraId="106985E0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63DBCAA8">
            <w:pPr>
              <w:spacing w:after="0" w:line="240" w:lineRule="auto"/>
            </w:pPr>
          </w:p>
        </w:tc>
      </w:tr>
      <w:tr w14:paraId="4035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3CB47007">
            <w:pPr>
              <w:spacing w:after="0" w:line="240" w:lineRule="auto"/>
            </w:pPr>
            <w:r>
              <w:t>Sampling &amp; courier</w:t>
            </w:r>
          </w:p>
        </w:tc>
        <w:tc>
          <w:tcPr>
            <w:tcW w:w="1872" w:type="dxa"/>
            <w:vAlign w:val="top"/>
          </w:tcPr>
          <w:p w14:paraId="7CD071D8">
            <w:pPr>
              <w:spacing w:after="0" w:line="240" w:lineRule="auto"/>
            </w:pPr>
            <w:r>
              <w:t>List sample fees and shipping cost assumptions per round.</w:t>
            </w:r>
          </w:p>
        </w:tc>
        <w:tc>
          <w:tcPr>
            <w:tcW w:w="1872" w:type="dxa"/>
            <w:vAlign w:val="top"/>
          </w:tcPr>
          <w:p w14:paraId="03BE7338">
            <w:pPr>
              <w:spacing w:after="0" w:line="240" w:lineRule="auto"/>
            </w:pPr>
            <w:r>
              <w:t>optional</w:t>
            </w:r>
          </w:p>
        </w:tc>
        <w:tc>
          <w:tcPr>
            <w:tcW w:w="1872" w:type="dxa"/>
            <w:vAlign w:val="top"/>
          </w:tcPr>
          <w:p w14:paraId="5E5CCDBA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03899DEF">
            <w:pPr>
              <w:spacing w:after="0" w:line="240" w:lineRule="auto"/>
            </w:pPr>
          </w:p>
        </w:tc>
      </w:tr>
      <w:tr w14:paraId="24977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158C7C1C">
            <w:pPr>
              <w:spacing w:after="0" w:line="240" w:lineRule="auto"/>
            </w:pPr>
            <w:r>
              <w:t>QC level upgrades</w:t>
            </w:r>
          </w:p>
        </w:tc>
        <w:tc>
          <w:tcPr>
            <w:tcW w:w="1872" w:type="dxa"/>
            <w:vAlign w:val="top"/>
          </w:tcPr>
          <w:p w14:paraId="7A65BDC1">
            <w:pPr>
              <w:spacing w:after="0" w:line="240" w:lineRule="auto"/>
            </w:pPr>
            <w:r>
              <w:t>List any tighter QC checks that affect cost (tolerances, extra inspections).</w:t>
            </w:r>
          </w:p>
        </w:tc>
        <w:tc>
          <w:tcPr>
            <w:tcW w:w="1872" w:type="dxa"/>
            <w:vAlign w:val="top"/>
          </w:tcPr>
          <w:p w14:paraId="1B33076F">
            <w:pPr>
              <w:spacing w:after="0" w:line="240" w:lineRule="auto"/>
            </w:pPr>
            <w:r>
              <w:t>optional</w:t>
            </w:r>
          </w:p>
        </w:tc>
        <w:tc>
          <w:tcPr>
            <w:tcW w:w="1872" w:type="dxa"/>
            <w:vAlign w:val="top"/>
          </w:tcPr>
          <w:p w14:paraId="7703CAC6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31603109">
            <w:pPr>
              <w:spacing w:after="0" w:line="240" w:lineRule="auto"/>
            </w:pPr>
          </w:p>
        </w:tc>
      </w:tr>
      <w:tr w14:paraId="13905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72" w:type="dxa"/>
            <w:vAlign w:val="top"/>
          </w:tcPr>
          <w:p w14:paraId="26228A17">
            <w:pPr>
              <w:spacing w:after="0" w:line="240" w:lineRule="auto"/>
            </w:pPr>
            <w:r>
              <w:t>Remedy exposure</w:t>
            </w:r>
          </w:p>
        </w:tc>
        <w:tc>
          <w:tcPr>
            <w:tcW w:w="1872" w:type="dxa"/>
            <w:vAlign w:val="top"/>
          </w:tcPr>
          <w:p w14:paraId="14C6FC4F">
            <w:pPr>
              <w:spacing w:after="0" w:line="240" w:lineRule="auto"/>
            </w:pPr>
            <w:r>
              <w:t>Put rework/replace/credit terms in writing so “cheap” doesn’t become returns and delays.</w:t>
            </w:r>
          </w:p>
        </w:tc>
        <w:tc>
          <w:tcPr>
            <w:tcW w:w="1872" w:type="dxa"/>
            <w:vAlign w:val="top"/>
          </w:tcPr>
          <w:p w14:paraId="0229AFFB">
            <w:pPr>
              <w:spacing w:after="0" w:line="240" w:lineRule="auto"/>
            </w:pPr>
            <w:r>
              <w:t>risk</w:t>
            </w:r>
          </w:p>
        </w:tc>
        <w:tc>
          <w:tcPr>
            <w:tcW w:w="1872" w:type="dxa"/>
            <w:vAlign w:val="top"/>
          </w:tcPr>
          <w:p w14:paraId="2C257D6F">
            <w:pPr>
              <w:spacing w:after="0" w:line="240" w:lineRule="auto"/>
            </w:pPr>
          </w:p>
        </w:tc>
        <w:tc>
          <w:tcPr>
            <w:tcW w:w="1872" w:type="dxa"/>
            <w:vAlign w:val="top"/>
          </w:tcPr>
          <w:p w14:paraId="54D4F4F7">
            <w:pPr>
              <w:spacing w:after="0" w:line="240" w:lineRule="auto"/>
            </w:pPr>
          </w:p>
        </w:tc>
      </w:tr>
    </w:tbl>
    <w:p w14:paraId="1E634A41"/>
    <w:p w14:paraId="5410E857">
      <w:r>
        <w:rPr>
          <w:b/>
        </w:rPr>
        <w:t>Rule: If it’s not itemized, assume it’s extra.</w:t>
      </w: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3A355821"/>
    <w:rsid w:val="439A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qFormat="1" w:uiPriority="99" w:semiHidden="0" w:name="List Number"/>
    <w:lsdException w:qFormat="1" w:uiPriority="99" w:semiHidden="0" w:name="List 2"/>
    <w:lsdException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unhideWhenUsed="0" w:uiPriority="66" w:semiHidden="0" w:name="Medium List 2 Accent 4"/>
    <w:lsdException w:qFormat="1"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qFormat/>
    <w:uiPriority w:val="99"/>
  </w:style>
  <w:style w:type="character" w:customStyle="1" w:styleId="136">
    <w:name w:val="Footer Char"/>
    <w:basedOn w:val="132"/>
    <w:link w:val="24"/>
    <w:qFormat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1071</Characters>
  <Lines>0</Lines>
  <Paragraphs>0</Paragraphs>
  <TotalTime>0</TotalTime>
  <ScaleCrop>false</ScaleCrop>
  <LinksUpToDate>false</LinksUpToDate>
  <CharactersWithSpaces>1218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思xian</cp:lastModifiedBy>
  <dcterms:modified xsi:type="dcterms:W3CDTF">2026-02-02T06:49:38Z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4F3E357FDFF347E29DB583B45EDCC02B_13</vt:lpwstr>
  </property>
  <property fmtid="{D5CDD505-2E9C-101B-9397-08002B2CF9AE}" pid="4" name="KSOTemplateDocerSaveRecord">
    <vt:lpwstr>eyJoZGlkIjoiMWM0MDQ5NTY4OTJjYzBjZTU5NzRjZjMwNzk5ZDRjZDciLCJ1c2VySWQiOiIxMDE1NTA4MjU5In0=</vt:lpwstr>
  </property>
</Properties>
</file>