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CFDE0">
      <w:pPr>
        <w:pStyle w:val="3"/>
      </w:pPr>
      <w:bookmarkStart w:id="0" w:name="_GoBack"/>
      <w:bookmarkEnd w:id="0"/>
      <w:r>
        <w:t>Protection Ladder + Ownership &amp; Exit Checklist</w:t>
      </w:r>
    </w:p>
    <w:p w14:paraId="22502911">
      <w:r>
        <w:t>Use this to select protection level and ensure you can exit without losing product identity.</w:t>
      </w:r>
    </w:p>
    <w:p w14:paraId="41AB3022">
      <w:pPr>
        <w:pStyle w:val="4"/>
      </w:pPr>
      <w:r>
        <w:t>Step 7 — Protection Ladder (Choose Level)</w:t>
      </w:r>
    </w:p>
    <w:p w14:paraId="4BA328FD">
      <w:r>
        <w:t>☐ Level 1: NDA + confidentiality</w:t>
      </w:r>
    </w:p>
    <w:p w14:paraId="2310226D">
      <w:r>
        <w:t>☐ Level 2: Access control (who can view files internally)</w:t>
      </w:r>
    </w:p>
    <w:p w14:paraId="1173BB8F">
      <w:r>
        <w:t>☐ Level 3: Exclusive elements (pack BOM parts, artwork rights, signature accords where relevant)</w:t>
      </w:r>
    </w:p>
    <w:p w14:paraId="1331EF3F">
      <w:r>
        <w:t>☐ Level 4: Transfer package (exit-ready files, specs, QC windows)</w:t>
      </w:r>
    </w:p>
    <w:p w14:paraId="0B4F5423">
      <w:pPr>
        <w:pStyle w:val="4"/>
      </w:pPr>
      <w:r>
        <w:t>Ownership Checklist (Element-by-Element)</w:t>
      </w:r>
    </w:p>
    <w:tbl>
      <w:tblPr>
        <w:tblStyle w:val="3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3"/>
        <w:gridCol w:w="1897"/>
        <w:gridCol w:w="1925"/>
        <w:gridCol w:w="1871"/>
      </w:tblGrid>
      <w:tr w14:paraId="7F944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228BB0C6">
            <w:pPr>
              <w:spacing w:after="0" w:line="240" w:lineRule="auto"/>
            </w:pPr>
            <w:r>
              <w:t>Element</w:t>
            </w:r>
          </w:p>
        </w:tc>
        <w:tc>
          <w:tcPr>
            <w:tcW w:w="2160" w:type="dxa"/>
          </w:tcPr>
          <w:p w14:paraId="1C6FF1C5">
            <w:pPr>
              <w:spacing w:after="0" w:line="240" w:lineRule="auto"/>
            </w:pPr>
            <w:r>
              <w:t>Owned by Brand?</w:t>
            </w:r>
          </w:p>
        </w:tc>
        <w:tc>
          <w:tcPr>
            <w:tcW w:w="2160" w:type="dxa"/>
          </w:tcPr>
          <w:p w14:paraId="3B53C022">
            <w:pPr>
              <w:spacing w:after="0" w:line="240" w:lineRule="auto"/>
            </w:pPr>
            <w:r>
              <w:t>Owned by Factory?</w:t>
            </w:r>
          </w:p>
        </w:tc>
        <w:tc>
          <w:tcPr>
            <w:tcW w:w="2160" w:type="dxa"/>
          </w:tcPr>
          <w:p w14:paraId="7CCF1778">
            <w:pPr>
              <w:spacing w:after="0" w:line="240" w:lineRule="auto"/>
            </w:pPr>
            <w:r>
              <w:t>Notes</w:t>
            </w:r>
          </w:p>
        </w:tc>
      </w:tr>
      <w:tr w14:paraId="1B0E2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1E7E75ED">
            <w:pPr>
              <w:spacing w:after="0" w:line="240" w:lineRule="auto"/>
            </w:pPr>
            <w:r>
              <w:t>Formula file + version history</w:t>
            </w:r>
          </w:p>
        </w:tc>
        <w:tc>
          <w:tcPr>
            <w:tcW w:w="2160" w:type="dxa"/>
          </w:tcPr>
          <w:p w14:paraId="1A44AEC8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1D221BBA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77AEF69A">
            <w:pPr>
              <w:spacing w:after="0" w:line="240" w:lineRule="auto"/>
            </w:pPr>
            <w:r>
              <w:t>____</w:t>
            </w:r>
          </w:p>
        </w:tc>
      </w:tr>
      <w:tr w14:paraId="54F69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BACE1E8">
            <w:pPr>
              <w:spacing w:after="0" w:line="240" w:lineRule="auto"/>
            </w:pPr>
            <w:r>
              <w:t>Packaging BOM + critical parts list</w:t>
            </w:r>
          </w:p>
        </w:tc>
        <w:tc>
          <w:tcPr>
            <w:tcW w:w="2160" w:type="dxa"/>
          </w:tcPr>
          <w:p w14:paraId="465DF107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02756CB5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621BFF18">
            <w:pPr>
              <w:spacing w:after="0" w:line="240" w:lineRule="auto"/>
            </w:pPr>
            <w:r>
              <w:t>____</w:t>
            </w:r>
          </w:p>
        </w:tc>
      </w:tr>
      <w:tr w14:paraId="0D02D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04D3DDA7">
            <w:pPr>
              <w:spacing w:after="0" w:line="240" w:lineRule="auto"/>
            </w:pPr>
            <w:r>
              <w:t>Artwork files (labels/cartons)</w:t>
            </w:r>
          </w:p>
        </w:tc>
        <w:tc>
          <w:tcPr>
            <w:tcW w:w="2160" w:type="dxa"/>
          </w:tcPr>
          <w:p w14:paraId="2C0B9CAD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B3368EA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5AADA7C2">
            <w:pPr>
              <w:spacing w:after="0" w:line="240" w:lineRule="auto"/>
            </w:pPr>
            <w:r>
              <w:t>____</w:t>
            </w:r>
          </w:p>
        </w:tc>
      </w:tr>
      <w:tr w14:paraId="733C4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4CB8D90">
            <w:pPr>
              <w:spacing w:after="0" w:line="240" w:lineRule="auto"/>
            </w:pPr>
            <w:r>
              <w:t>Test data (stability/compatibility/micro)</w:t>
            </w:r>
          </w:p>
        </w:tc>
        <w:tc>
          <w:tcPr>
            <w:tcW w:w="2160" w:type="dxa"/>
          </w:tcPr>
          <w:p w14:paraId="0198E807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411390B1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46C5BDAC">
            <w:pPr>
              <w:spacing w:after="0" w:line="240" w:lineRule="auto"/>
            </w:pPr>
            <w:r>
              <w:t>____</w:t>
            </w:r>
          </w:p>
        </w:tc>
      </w:tr>
      <w:tr w14:paraId="240BF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2DC1AA4F">
            <w:pPr>
              <w:spacing w:after="0" w:line="240" w:lineRule="auto"/>
            </w:pPr>
            <w:r>
              <w:t>Batch records / batch summaries</w:t>
            </w:r>
          </w:p>
        </w:tc>
        <w:tc>
          <w:tcPr>
            <w:tcW w:w="2160" w:type="dxa"/>
          </w:tcPr>
          <w:p w14:paraId="2A432B7F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4096FA7E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6438B1A1">
            <w:pPr>
              <w:spacing w:after="0" w:line="240" w:lineRule="auto"/>
            </w:pPr>
            <w:r>
              <w:t>____</w:t>
            </w:r>
          </w:p>
        </w:tc>
      </w:tr>
      <w:tr w14:paraId="5679F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45F7CBB">
            <w:pPr>
              <w:spacing w:after="0" w:line="240" w:lineRule="auto"/>
            </w:pPr>
            <w:r>
              <w:t>Supplier list + alternates list</w:t>
            </w:r>
          </w:p>
        </w:tc>
        <w:tc>
          <w:tcPr>
            <w:tcW w:w="2160" w:type="dxa"/>
          </w:tcPr>
          <w:p w14:paraId="1E80A262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3A0D1CB6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3558B452">
            <w:pPr>
              <w:spacing w:after="0" w:line="240" w:lineRule="auto"/>
            </w:pPr>
            <w:r>
              <w:t>____</w:t>
            </w:r>
          </w:p>
        </w:tc>
      </w:tr>
      <w:tr w14:paraId="3ED5C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449AF352">
            <w:pPr>
              <w:spacing w:after="0" w:line="240" w:lineRule="auto"/>
            </w:pPr>
            <w:r>
              <w:t>Golden sample retention + storage rules</w:t>
            </w:r>
          </w:p>
        </w:tc>
        <w:tc>
          <w:tcPr>
            <w:tcW w:w="2160" w:type="dxa"/>
          </w:tcPr>
          <w:p w14:paraId="06F5F798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2FB5E62A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65BAD3F7">
            <w:pPr>
              <w:spacing w:after="0" w:line="240" w:lineRule="auto"/>
            </w:pPr>
            <w:r>
              <w:t>____</w:t>
            </w:r>
          </w:p>
        </w:tc>
      </w:tr>
      <w:tr w14:paraId="06B7F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</w:tcPr>
          <w:p w14:paraId="536B73C4">
            <w:pPr>
              <w:spacing w:after="0" w:line="240" w:lineRule="auto"/>
            </w:pPr>
            <w:r>
              <w:t>Process parameters (mixing/filling windows)</w:t>
            </w:r>
          </w:p>
        </w:tc>
        <w:tc>
          <w:tcPr>
            <w:tcW w:w="2160" w:type="dxa"/>
          </w:tcPr>
          <w:p w14:paraId="6902A069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56AE7FA6">
            <w:pPr>
              <w:spacing w:after="0" w:line="240" w:lineRule="auto"/>
            </w:pPr>
            <w:r>
              <w:t>☐</w:t>
            </w:r>
          </w:p>
        </w:tc>
        <w:tc>
          <w:tcPr>
            <w:tcW w:w="2160" w:type="dxa"/>
          </w:tcPr>
          <w:p w14:paraId="1AA309B6">
            <w:pPr>
              <w:spacing w:after="0" w:line="240" w:lineRule="auto"/>
            </w:pPr>
            <w:r>
              <w:t>____</w:t>
            </w:r>
          </w:p>
        </w:tc>
      </w:tr>
    </w:tbl>
    <w:p w14:paraId="20AA4E37">
      <w:pPr>
        <w:pStyle w:val="4"/>
      </w:pPr>
      <w:r>
        <w:t>Exit-Ready Transfer Package (Request List)</w:t>
      </w:r>
    </w:p>
    <w:p w14:paraId="529FC2CB">
      <w:r>
        <w:t>☐ Final formula file (INCI + percentages where applicable)</w:t>
      </w:r>
    </w:p>
    <w:p w14:paraId="6BD30B63">
      <w:r>
        <w:t>☐ Specs: pH, viscosity, appearance, odor, fill weight ranges</w:t>
      </w:r>
    </w:p>
    <w:p w14:paraId="76B00B84">
      <w:r>
        <w:t>☐ Process parameters: mixing + filling windows</w:t>
      </w:r>
    </w:p>
    <w:p w14:paraId="5ADA2F83">
      <w:r>
        <w:t>☐ Packaging BOM with critical parts locked</w:t>
      </w:r>
    </w:p>
    <w:p w14:paraId="74B4919B">
      <w:r>
        <w:t>☐ Approved suppliers + alternates list</w:t>
      </w:r>
    </w:p>
    <w:p w14:paraId="492D16B5">
      <w:r>
        <w:t>☐ Testing summary + documentation checklist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149B2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qFormat="1"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1031</Characters>
  <Lines>0</Lines>
  <Paragraphs>0</Paragraphs>
  <TotalTime>0</TotalTime>
  <ScaleCrop>false</ScaleCrop>
  <LinksUpToDate>false</LinksUpToDate>
  <CharactersWithSpaces>1170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5FE19CCAF3BC47CBABC2EAA579B87658_13</vt:lpwstr>
  </property>
</Properties>
</file>